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A4" w:rsidRPr="008A476A" w:rsidRDefault="008A476A">
      <w:pPr>
        <w:rPr>
          <w:rFonts w:ascii="Tahoma" w:hAnsi="Tahoma" w:cs="Tahoma"/>
          <w:b/>
        </w:rPr>
      </w:pPr>
      <w:r w:rsidRPr="008A476A">
        <w:rPr>
          <w:rFonts w:ascii="Tahoma" w:hAnsi="Tahoma" w:cs="Tahoma"/>
          <w:b/>
        </w:rPr>
        <w:t>September 23, 2016 – One Card Communication – Faculty &amp; Staff Mass eMail</w:t>
      </w:r>
    </w:p>
    <w:p w:rsidR="008A476A" w:rsidRDefault="008A476A" w:rsidP="008A476A">
      <w:pPr>
        <w:pStyle w:val="NoSpacing"/>
      </w:pPr>
      <w:r w:rsidRPr="008A476A">
        <w:rPr>
          <w:b/>
        </w:rPr>
        <w:t>From:</w:t>
      </w:r>
      <w:r>
        <w:t xml:space="preserve">  </w:t>
      </w:r>
      <w:r w:rsidRPr="008A476A">
        <w:t xml:space="preserve">financesupport@news.umsystem.edu; on behalf of; UM Finance Support </w:t>
      </w:r>
      <w:hyperlink r:id="rId5" w:history="1">
        <w:r w:rsidRPr="005643C5">
          <w:rPr>
            <w:rStyle w:val="Hyperlink"/>
          </w:rPr>
          <w:t>financesupport@umsystem.edu</w:t>
        </w:r>
      </w:hyperlink>
    </w:p>
    <w:p w:rsidR="008A476A" w:rsidRDefault="008A476A" w:rsidP="008A476A">
      <w:pPr>
        <w:pStyle w:val="NoSpacing"/>
      </w:pPr>
      <w:r w:rsidRPr="008A476A">
        <w:rPr>
          <w:b/>
        </w:rPr>
        <w:t>Sent:</w:t>
      </w:r>
      <w:r>
        <w:t xml:space="preserve">  Friday, September 23, 2016, 8:00 AM</w:t>
      </w:r>
    </w:p>
    <w:p w:rsidR="008A476A" w:rsidRDefault="008A476A" w:rsidP="008A476A">
      <w:pPr>
        <w:pStyle w:val="NoSpacing"/>
      </w:pPr>
      <w:r w:rsidRPr="008A476A">
        <w:rPr>
          <w:b/>
        </w:rPr>
        <w:t>To:</w:t>
      </w:r>
      <w:r>
        <w:t xml:space="preserve">  All Faculty &amp; Staff</w:t>
      </w:r>
    </w:p>
    <w:p w:rsidR="008A476A" w:rsidRDefault="008A476A" w:rsidP="008A476A">
      <w:pPr>
        <w:pStyle w:val="NoSpacing"/>
      </w:pPr>
      <w:r w:rsidRPr="008A476A">
        <w:rPr>
          <w:b/>
        </w:rPr>
        <w:t>Subject:</w:t>
      </w:r>
      <w:r>
        <w:t xml:space="preserve">  </w:t>
      </w:r>
      <w:r w:rsidRPr="008A476A">
        <w:t>One Card migration has started</w:t>
      </w:r>
    </w:p>
    <w:p w:rsidR="008A476A" w:rsidRDefault="008A476A"/>
    <w:p w:rsidR="008A476A" w:rsidRDefault="008A476A">
      <w:r>
        <w:rPr>
          <w:noProof/>
        </w:rPr>
        <w:drawing>
          <wp:inline distT="0" distB="0" distL="0" distR="0">
            <wp:extent cx="5715000" cy="762000"/>
            <wp:effectExtent l="0" t="0" r="0" b="0"/>
            <wp:docPr id="1" name="Picture 1" descr="University of Missouri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ssouri Sy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62000"/>
                    </a:xfrm>
                    <a:prstGeom prst="rect">
                      <a:avLst/>
                    </a:prstGeom>
                    <a:noFill/>
                    <a:ln>
                      <a:noFill/>
                    </a:ln>
                  </pic:spPr>
                </pic:pic>
              </a:graphicData>
            </a:graphic>
          </wp:inline>
        </w:drawing>
      </w:r>
    </w:p>
    <w:tbl>
      <w:tblPr>
        <w:tblW w:w="5000" w:type="pct"/>
        <w:tblCellSpacing w:w="0" w:type="dxa"/>
        <w:tblCellMar>
          <w:top w:w="375" w:type="dxa"/>
          <w:left w:w="375" w:type="dxa"/>
          <w:bottom w:w="375" w:type="dxa"/>
          <w:right w:w="375" w:type="dxa"/>
        </w:tblCellMar>
        <w:tblLook w:val="04A0" w:firstRow="1" w:lastRow="0" w:firstColumn="1" w:lastColumn="0" w:noHBand="0" w:noVBand="1"/>
      </w:tblPr>
      <w:tblGrid>
        <w:gridCol w:w="10800"/>
      </w:tblGrid>
      <w:tr w:rsidR="008A476A" w:rsidTr="008A476A">
        <w:trPr>
          <w:tblCellSpacing w:w="0" w:type="dxa"/>
        </w:trPr>
        <w:tc>
          <w:tcPr>
            <w:tcW w:w="0" w:type="auto"/>
            <w:shd w:val="clear" w:color="auto" w:fill="2E4059"/>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8A476A">
              <w:trPr>
                <w:tblCellSpacing w:w="0" w:type="dxa"/>
                <w:jc w:val="center"/>
              </w:trPr>
              <w:tc>
                <w:tcPr>
                  <w:tcW w:w="0" w:type="auto"/>
                  <w:shd w:val="clear" w:color="auto" w:fill="FFFFFF"/>
                  <w:vAlign w:val="center"/>
                  <w:hideMark/>
                </w:tcPr>
                <w:p w:rsidR="008A476A" w:rsidRDefault="008A476A">
                  <w:r>
                    <w:rPr>
                      <w:noProof/>
                    </w:rPr>
                    <w:drawing>
                      <wp:inline distT="0" distB="0" distL="0" distR="0">
                        <wp:extent cx="5715000" cy="762000"/>
                        <wp:effectExtent l="0" t="0" r="0" b="0"/>
                        <wp:docPr id="4" name="Picture 4" descr="University of Missouri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Missouri Syst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762000"/>
                                </a:xfrm>
                                <a:prstGeom prst="rect">
                                  <a:avLst/>
                                </a:prstGeom>
                                <a:noFill/>
                                <a:ln>
                                  <a:noFill/>
                                </a:ln>
                              </pic:spPr>
                            </pic:pic>
                          </a:graphicData>
                        </a:graphic>
                      </wp:inline>
                    </w:drawing>
                  </w:r>
                </w:p>
              </w:tc>
            </w:tr>
            <w:tr w:rsidR="008A476A">
              <w:trPr>
                <w:tblCellSpacing w:w="0" w:type="dxa"/>
                <w:jc w:val="center"/>
              </w:trPr>
              <w:tc>
                <w:tcPr>
                  <w:tcW w:w="0" w:type="auto"/>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8A476A">
                    <w:trPr>
                      <w:tblCellSpacing w:w="0" w:type="dxa"/>
                    </w:trPr>
                    <w:tc>
                      <w:tcPr>
                        <w:tcW w:w="0" w:type="auto"/>
                        <w:tcMar>
                          <w:top w:w="0" w:type="dxa"/>
                          <w:left w:w="300" w:type="dxa"/>
                          <w:bottom w:w="300" w:type="dxa"/>
                          <w:right w:w="300" w:type="dxa"/>
                        </w:tcMar>
                        <w:hideMark/>
                      </w:tcPr>
                      <w:p w:rsidR="008A476A" w:rsidRDefault="008A476A">
                        <w:pPr>
                          <w:pStyle w:val="NormalWeb"/>
                          <w:spacing w:line="300" w:lineRule="auto"/>
                          <w:rPr>
                            <w:rFonts w:ascii="Tahoma" w:hAnsi="Tahoma" w:cs="Tahoma"/>
                            <w:color w:val="3F3F3F"/>
                            <w:sz w:val="21"/>
                            <w:szCs w:val="21"/>
                          </w:rPr>
                        </w:pPr>
                        <w:r>
                          <w:rPr>
                            <w:rFonts w:ascii="Tahoma" w:hAnsi="Tahoma" w:cs="Tahoma"/>
                            <w:color w:val="3F3F3F"/>
                            <w:sz w:val="21"/>
                            <w:szCs w:val="21"/>
                          </w:rPr>
                          <w:t>As announced last month, the University of Missouri System is migrating from separate travel and purchasing cards to an integrated One Card. The project continues to be on track to meet the goal of having all cards converted by February 28, 2017, utilizing a deployment wave approach. Additional details on the transition process and information about the One Card program as follows:</w:t>
                        </w:r>
                      </w:p>
                      <w:p w:rsidR="008A476A" w:rsidRDefault="008A476A">
                        <w:pPr>
                          <w:pStyle w:val="NormalWeb"/>
                          <w:spacing w:line="300" w:lineRule="auto"/>
                          <w:rPr>
                            <w:rFonts w:ascii="Tahoma" w:hAnsi="Tahoma" w:cs="Tahoma"/>
                            <w:color w:val="3F3F3F"/>
                            <w:sz w:val="21"/>
                            <w:szCs w:val="21"/>
                          </w:rPr>
                        </w:pPr>
                        <w:r>
                          <w:rPr>
                            <w:rFonts w:ascii="Tahoma" w:hAnsi="Tahoma" w:cs="Tahoma"/>
                            <w:color w:val="3F3F3F"/>
                            <w:sz w:val="21"/>
                            <w:szCs w:val="21"/>
                          </w:rPr>
                          <w:t>Transition Process</w:t>
                        </w:r>
                      </w:p>
                      <w:p w:rsidR="008A476A" w:rsidRDefault="008A476A" w:rsidP="00BA4D26">
                        <w:pPr>
                          <w:numPr>
                            <w:ilvl w:val="0"/>
                            <w:numId w:val="1"/>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Fiscal Officers and division/department decision makers are reviewing data regarding card usage and current cardholders to determine the optimum number of cards needed for their respective areas. </w:t>
                        </w:r>
                      </w:p>
                      <w:p w:rsidR="008A476A" w:rsidRDefault="008A476A" w:rsidP="00BA4D26">
                        <w:pPr>
                          <w:numPr>
                            <w:ilvl w:val="0"/>
                            <w:numId w:val="1"/>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These groups are working with Supply Chain to set the date best suited for each area to begin their wave deployment. </w:t>
                        </w:r>
                      </w:p>
                      <w:p w:rsidR="008A476A" w:rsidRDefault="008A476A" w:rsidP="00BA4D26">
                        <w:pPr>
                          <w:numPr>
                            <w:ilvl w:val="0"/>
                            <w:numId w:val="1"/>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Current and new cardholders will receive detailed information from their division/department representatives on changes that will affect them, along with specific dates and deadlines.  </w:t>
                        </w:r>
                      </w:p>
                      <w:p w:rsidR="008A476A" w:rsidRDefault="008A476A" w:rsidP="00BA4D26">
                        <w:pPr>
                          <w:numPr>
                            <w:ilvl w:val="0"/>
                            <w:numId w:val="1"/>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All cardholders (current or new) will be required to complete a new One Card Application &amp; Agreement. This is required to meet the U.S. Department of Treasury’s Office of Foreign Assets Control (OFAC) compliance regulations and includes controls associated with the new One Card program.</w:t>
                        </w:r>
                      </w:p>
                      <w:p w:rsidR="008A476A" w:rsidRDefault="008A476A" w:rsidP="00BA4D26">
                        <w:pPr>
                          <w:numPr>
                            <w:ilvl w:val="0"/>
                            <w:numId w:val="1"/>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After the approved application has been submitted, cardholders may be required to complete training on the use of the One Card and duties of an approver or reviewer (if applicable). Cardholders will be notified of their individual training requirements. One Cards will not be issued until the cardholder has successfully completed the required training.</w:t>
                        </w:r>
                      </w:p>
                      <w:p w:rsidR="008A476A" w:rsidRDefault="008A476A" w:rsidP="00BA4D26">
                        <w:pPr>
                          <w:numPr>
                            <w:ilvl w:val="0"/>
                            <w:numId w:val="1"/>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lastRenderedPageBreak/>
                          <w:t xml:space="preserve">Links to the new or revised policies related to the One Card migration can be found on the </w:t>
                        </w:r>
                        <w:hyperlink r:id="rId7" w:history="1">
                          <w:r>
                            <w:rPr>
                              <w:rStyle w:val="Hyperlink"/>
                              <w:rFonts w:ascii="Tahoma" w:hAnsi="Tahoma" w:cs="Tahoma"/>
                              <w:sz w:val="21"/>
                              <w:szCs w:val="21"/>
                            </w:rPr>
                            <w:t>One Card website</w:t>
                          </w:r>
                        </w:hyperlink>
                        <w:r>
                          <w:rPr>
                            <w:rFonts w:ascii="Tahoma" w:hAnsi="Tahoma" w:cs="Tahoma"/>
                            <w:color w:val="3F3F3F"/>
                            <w:sz w:val="21"/>
                            <w:szCs w:val="21"/>
                          </w:rPr>
                          <w:t>.</w:t>
                        </w:r>
                      </w:p>
                      <w:p w:rsidR="008A476A" w:rsidRDefault="008A476A">
                        <w:pPr>
                          <w:pStyle w:val="NormalWeb"/>
                          <w:spacing w:line="300" w:lineRule="auto"/>
                          <w:rPr>
                            <w:rFonts w:ascii="Tahoma" w:hAnsi="Tahoma" w:cs="Tahoma"/>
                            <w:color w:val="3F3F3F"/>
                            <w:sz w:val="21"/>
                            <w:szCs w:val="21"/>
                          </w:rPr>
                        </w:pPr>
                        <w:r>
                          <w:rPr>
                            <w:rFonts w:ascii="Tahoma" w:hAnsi="Tahoma" w:cs="Tahoma"/>
                            <w:color w:val="3F3F3F"/>
                            <w:sz w:val="21"/>
                            <w:szCs w:val="21"/>
                          </w:rPr>
                          <w:t>Transition Time Line</w:t>
                        </w:r>
                      </w:p>
                      <w:p w:rsidR="008A476A" w:rsidRDefault="008A476A" w:rsidP="00BA4D26">
                        <w:pPr>
                          <w:numPr>
                            <w:ilvl w:val="0"/>
                            <w:numId w:val="2"/>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August through December 2016 - Fiscal Officers and division/department decision makers meetings</w:t>
                        </w:r>
                      </w:p>
                      <w:p w:rsidR="008A476A" w:rsidRDefault="008A476A" w:rsidP="00BA4D26">
                        <w:pPr>
                          <w:numPr>
                            <w:ilvl w:val="0"/>
                            <w:numId w:val="2"/>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September 2016 through February 2017 - Training and rolling distribution of new cards to cardholders</w:t>
                        </w:r>
                      </w:p>
                      <w:p w:rsidR="008A476A" w:rsidRDefault="008A476A" w:rsidP="00BA4D26">
                        <w:pPr>
                          <w:numPr>
                            <w:ilvl w:val="0"/>
                            <w:numId w:val="2"/>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December 31, 2016 - All data for new One Cards in system</w:t>
                        </w:r>
                      </w:p>
                      <w:p w:rsidR="008A476A" w:rsidRDefault="008A476A" w:rsidP="00BA4D26">
                        <w:pPr>
                          <w:numPr>
                            <w:ilvl w:val="0"/>
                            <w:numId w:val="2"/>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February 28, 2017 - All current Pcards and Travel cards transitioned  to new One Card or cancelled</w:t>
                        </w:r>
                      </w:p>
                      <w:p w:rsidR="008A476A" w:rsidRDefault="008A476A">
                        <w:pPr>
                          <w:pStyle w:val="NormalWeb"/>
                          <w:spacing w:line="300" w:lineRule="auto"/>
                          <w:rPr>
                            <w:rFonts w:ascii="Tahoma" w:hAnsi="Tahoma" w:cs="Tahoma"/>
                            <w:color w:val="3F3F3F"/>
                            <w:sz w:val="21"/>
                            <w:szCs w:val="21"/>
                          </w:rPr>
                        </w:pPr>
                        <w:r>
                          <w:rPr>
                            <w:rFonts w:ascii="Tahoma" w:hAnsi="Tahoma" w:cs="Tahoma"/>
                            <w:color w:val="3F3F3F"/>
                            <w:sz w:val="21"/>
                            <w:szCs w:val="21"/>
                          </w:rPr>
                          <w:t xml:space="preserve">Information regarding deployments for divisions and departments is being finalized at this time. Targeted communication from division/department representatives will be sent to those assigned in each wave. Visit the </w:t>
                        </w:r>
                        <w:hyperlink r:id="rId8" w:history="1">
                          <w:r>
                            <w:rPr>
                              <w:rStyle w:val="Hyperlink"/>
                              <w:rFonts w:ascii="Tahoma" w:hAnsi="Tahoma" w:cs="Tahoma"/>
                              <w:sz w:val="21"/>
                              <w:szCs w:val="21"/>
                            </w:rPr>
                            <w:t>One Card website</w:t>
                          </w:r>
                        </w:hyperlink>
                        <w:r>
                          <w:rPr>
                            <w:rFonts w:ascii="Tahoma" w:hAnsi="Tahoma" w:cs="Tahoma"/>
                            <w:color w:val="3F3F3F"/>
                            <w:sz w:val="21"/>
                            <w:szCs w:val="21"/>
                          </w:rPr>
                          <w:t xml:space="preserve"> for the latest information on the project. </w:t>
                        </w:r>
                      </w:p>
                      <w:p w:rsidR="008A476A" w:rsidRDefault="008A476A">
                        <w:pPr>
                          <w:pStyle w:val="NormalWeb"/>
                          <w:spacing w:line="300" w:lineRule="auto"/>
                          <w:rPr>
                            <w:rFonts w:ascii="Tahoma" w:hAnsi="Tahoma" w:cs="Tahoma"/>
                            <w:color w:val="3F3F3F"/>
                            <w:sz w:val="21"/>
                            <w:szCs w:val="21"/>
                          </w:rPr>
                        </w:pPr>
                        <w:r>
                          <w:rPr>
                            <w:rFonts w:ascii="Tahoma" w:hAnsi="Tahoma" w:cs="Tahoma"/>
                            <w:color w:val="3F3F3F"/>
                            <w:sz w:val="21"/>
                            <w:szCs w:val="21"/>
                          </w:rPr>
                          <w:t>For additional questions, please contact the Finance Support Center.</w:t>
                        </w:r>
                      </w:p>
                      <w:p w:rsidR="008A476A" w:rsidRDefault="008A476A" w:rsidP="00BA4D26">
                        <w:pPr>
                          <w:numPr>
                            <w:ilvl w:val="0"/>
                            <w:numId w:val="3"/>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MU, UMSYS, &amp; UOEXT: 573-882-3201 (877-752-3334 for outlying offices not in Columbia)</w:t>
                        </w:r>
                      </w:p>
                      <w:p w:rsidR="008A476A" w:rsidRDefault="008A476A" w:rsidP="00BA4D26">
                        <w:pPr>
                          <w:numPr>
                            <w:ilvl w:val="0"/>
                            <w:numId w:val="3"/>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MUHC: 573-884-1234 (877-752-3334 for outlying MUHC facilities)</w:t>
                        </w:r>
                      </w:p>
                      <w:p w:rsidR="008A476A" w:rsidRDefault="008A476A" w:rsidP="00BA4D26">
                        <w:pPr>
                          <w:numPr>
                            <w:ilvl w:val="0"/>
                            <w:numId w:val="3"/>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UMKC: 816-235-1371</w:t>
                        </w:r>
                      </w:p>
                      <w:p w:rsidR="008A476A" w:rsidRDefault="008A476A" w:rsidP="00BA4D26">
                        <w:pPr>
                          <w:numPr>
                            <w:ilvl w:val="0"/>
                            <w:numId w:val="3"/>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Missouri S&amp;T: 573-341-4266 (877-752-1117 after hours)</w:t>
                        </w:r>
                      </w:p>
                      <w:p w:rsidR="008A476A" w:rsidRDefault="008A476A" w:rsidP="00BA4D26">
                        <w:pPr>
                          <w:numPr>
                            <w:ilvl w:val="0"/>
                            <w:numId w:val="3"/>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UMSL:  314-516-5366</w:t>
                        </w:r>
                      </w:p>
                      <w:p w:rsidR="008A476A" w:rsidRDefault="008A476A" w:rsidP="00BA4D26">
                        <w:pPr>
                          <w:numPr>
                            <w:ilvl w:val="0"/>
                            <w:numId w:val="3"/>
                          </w:numPr>
                          <w:spacing w:before="100" w:beforeAutospacing="1" w:after="100" w:afterAutospacing="1" w:line="300" w:lineRule="auto"/>
                          <w:rPr>
                            <w:rFonts w:ascii="Tahoma" w:hAnsi="Tahoma" w:cs="Tahoma"/>
                            <w:color w:val="3F3F3F"/>
                            <w:sz w:val="21"/>
                            <w:szCs w:val="21"/>
                          </w:rPr>
                        </w:pPr>
                        <w:r>
                          <w:rPr>
                            <w:rFonts w:ascii="Tahoma" w:hAnsi="Tahoma" w:cs="Tahoma"/>
                            <w:color w:val="3F3F3F"/>
                            <w:sz w:val="21"/>
                            <w:szCs w:val="21"/>
                          </w:rPr>
                          <w:t xml:space="preserve">Email: </w:t>
                        </w:r>
                        <w:hyperlink r:id="rId9" w:history="1">
                          <w:r>
                            <w:rPr>
                              <w:rStyle w:val="Hyperlink"/>
                              <w:rFonts w:ascii="Tahoma" w:hAnsi="Tahoma" w:cs="Tahoma"/>
                              <w:sz w:val="21"/>
                              <w:szCs w:val="21"/>
                            </w:rPr>
                            <w:t>FinanceSupport@umsystem.edu</w:t>
                          </w:r>
                        </w:hyperlink>
                      </w:p>
                    </w:tc>
                  </w:tr>
                </w:tbl>
                <w:p w:rsidR="008A476A" w:rsidRDefault="008A476A">
                  <w:pPr>
                    <w:spacing w:after="0" w:line="240" w:lineRule="auto"/>
                    <w:rPr>
                      <w:rFonts w:ascii="Times New Roman" w:hAnsi="Times New Roman" w:cs="Times New Roman"/>
                      <w:sz w:val="20"/>
                      <w:szCs w:val="20"/>
                    </w:rPr>
                  </w:pPr>
                </w:p>
              </w:tc>
            </w:tr>
            <w:tr w:rsidR="008A476A">
              <w:trPr>
                <w:tblCellSpacing w:w="0" w:type="dxa"/>
                <w:jc w:val="center"/>
              </w:trPr>
              <w:tc>
                <w:tcPr>
                  <w:tcW w:w="0" w:type="auto"/>
                  <w:shd w:val="clear" w:color="auto" w:fill="FFFFFF"/>
                  <w:vAlign w:val="center"/>
                  <w:hideMark/>
                </w:tcPr>
                <w:p w:rsidR="008A476A" w:rsidRDefault="008A476A">
                  <w:pPr>
                    <w:rPr>
                      <w:sz w:val="20"/>
                      <w:szCs w:val="20"/>
                    </w:rPr>
                  </w:pPr>
                </w:p>
              </w:tc>
            </w:tr>
          </w:tbl>
          <w:p w:rsidR="008A476A" w:rsidRDefault="008A476A">
            <w:pPr>
              <w:jc w:val="center"/>
              <w:rPr>
                <w:sz w:val="20"/>
                <w:szCs w:val="20"/>
              </w:rPr>
            </w:pPr>
          </w:p>
        </w:tc>
      </w:tr>
    </w:tbl>
    <w:p w:rsidR="008A476A" w:rsidRDefault="008A476A" w:rsidP="008A476A">
      <w:pPr>
        <w:rPr>
          <w:vanish/>
          <w:sz w:val="20"/>
          <w:szCs w:val="20"/>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A476A" w:rsidTr="008A476A">
        <w:trPr>
          <w:tblCellSpacing w:w="0" w:type="dxa"/>
          <w:jc w:val="center"/>
          <w:hidden/>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3"/>
              <w:gridCol w:w="8967"/>
            </w:tblGrid>
            <w:tr w:rsidR="008A476A">
              <w:trPr>
                <w:tblCellSpacing w:w="0" w:type="dxa"/>
                <w:hidden/>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3"/>
                  </w:tblGrid>
                  <w:tr w:rsidR="008A476A">
                    <w:trPr>
                      <w:trHeight w:val="285"/>
                      <w:tblCellSpacing w:w="0" w:type="dxa"/>
                      <w:hidden/>
                    </w:trPr>
                    <w:tc>
                      <w:tcPr>
                        <w:tcW w:w="0" w:type="auto"/>
                        <w:vAlign w:val="center"/>
                        <w:hideMark/>
                      </w:tcPr>
                      <w:p w:rsidR="008A476A" w:rsidRDefault="008A476A">
                        <w:pPr>
                          <w:rPr>
                            <w:vanish/>
                            <w:sz w:val="20"/>
                            <w:szCs w:val="20"/>
                          </w:rPr>
                        </w:pPr>
                      </w:p>
                    </w:tc>
                  </w:tr>
                  <w:tr w:rsidR="008A476A">
                    <w:trPr>
                      <w:tblCellSpacing w:w="0" w:type="dxa"/>
                    </w:trPr>
                    <w:tc>
                      <w:tcPr>
                        <w:tcW w:w="0" w:type="auto"/>
                        <w:hideMark/>
                      </w:tcPr>
                      <w:p w:rsidR="008A476A" w:rsidRDefault="008A476A">
                        <w:pPr>
                          <w:rPr>
                            <w:sz w:val="20"/>
                            <w:szCs w:val="20"/>
                          </w:rPr>
                        </w:pPr>
                      </w:p>
                    </w:tc>
                  </w:tr>
                </w:tbl>
                <w:p w:rsidR="008A476A" w:rsidRDefault="008A476A">
                  <w:pPr>
                    <w:rPr>
                      <w:sz w:val="20"/>
                      <w:szCs w:val="20"/>
                    </w:rPr>
                  </w:pPr>
                </w:p>
              </w:tc>
              <w:tc>
                <w:tcPr>
                  <w:tcW w:w="0" w:type="auto"/>
                  <w:hideMark/>
                </w:tcPr>
                <w:p w:rsidR="008A476A" w:rsidRDefault="008A476A">
                  <w:pPr>
                    <w:jc w:val="right"/>
                    <w:rPr>
                      <w:sz w:val="24"/>
                      <w:szCs w:val="24"/>
                    </w:rPr>
                  </w:pPr>
                  <w:r>
                    <w:rPr>
                      <w:noProof/>
                      <w:color w:val="0000FF"/>
                    </w:rPr>
                    <w:drawing>
                      <wp:inline distT="0" distB="0" distL="0" distR="0">
                        <wp:extent cx="1028700" cy="561975"/>
                        <wp:effectExtent l="0" t="0" r="0" b="9525"/>
                        <wp:docPr id="3" name="Picture 3" descr="Powered by SubscriberMail http://www.subscribermail.com">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wered by SubscriberMail http://www.subscribermail.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561975"/>
                                </a:xfrm>
                                <a:prstGeom prst="rect">
                                  <a:avLst/>
                                </a:prstGeom>
                                <a:noFill/>
                                <a:ln>
                                  <a:noFill/>
                                </a:ln>
                              </pic:spPr>
                            </pic:pic>
                          </a:graphicData>
                        </a:graphic>
                      </wp:inline>
                    </w:drawing>
                  </w:r>
                </w:p>
              </w:tc>
            </w:tr>
          </w:tbl>
          <w:p w:rsidR="008A476A" w:rsidRDefault="008A476A">
            <w:pPr>
              <w:rPr>
                <w:sz w:val="20"/>
                <w:szCs w:val="20"/>
              </w:rPr>
            </w:pPr>
          </w:p>
        </w:tc>
      </w:tr>
      <w:tr w:rsidR="008A476A" w:rsidTr="008A476A">
        <w:trPr>
          <w:tblCellSpacing w:w="0" w:type="dxa"/>
          <w:jc w:val="center"/>
        </w:trPr>
        <w:tc>
          <w:tcPr>
            <w:tcW w:w="0" w:type="auto"/>
            <w:hideMark/>
          </w:tcPr>
          <w:p w:rsidR="008A476A" w:rsidRDefault="008A476A">
            <w:pPr>
              <w:rPr>
                <w:sz w:val="24"/>
                <w:szCs w:val="24"/>
              </w:rPr>
            </w:pPr>
            <w:r>
              <w:rPr>
                <w:rFonts w:ascii="Arial" w:hAnsi="Arial" w:cs="Arial"/>
                <w:color w:val="000000"/>
                <w:sz w:val="18"/>
                <w:szCs w:val="18"/>
              </w:rPr>
              <w:t>You are receiving this email because you are an employee, student or retiree of the University of Missouri with a university provided email address.</w:t>
            </w:r>
            <w:r>
              <w:rPr>
                <w:rFonts w:ascii="Arial" w:hAnsi="Arial" w:cs="Arial"/>
                <w:color w:val="000000"/>
                <w:sz w:val="18"/>
                <w:szCs w:val="18"/>
              </w:rPr>
              <w:br/>
              <w:t>321 University Hall | Columbia, Missouri 65211</w:t>
            </w:r>
          </w:p>
        </w:tc>
        <w:bookmarkStart w:id="0" w:name="_GoBack"/>
        <w:bookmarkEnd w:id="0"/>
      </w:tr>
    </w:tbl>
    <w:p w:rsidR="008A476A" w:rsidRPr="008A476A" w:rsidRDefault="008A476A">
      <w:pPr>
        <w:rPr>
          <w:sz w:val="20"/>
          <w:szCs w:val="20"/>
        </w:rPr>
      </w:pPr>
    </w:p>
    <w:sectPr w:rsidR="008A476A" w:rsidRPr="008A476A" w:rsidSect="005F15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5F01"/>
    <w:multiLevelType w:val="multilevel"/>
    <w:tmpl w:val="F2B23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318EB"/>
    <w:multiLevelType w:val="multilevel"/>
    <w:tmpl w:val="31329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478F5"/>
    <w:multiLevelType w:val="multilevel"/>
    <w:tmpl w:val="4D60D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6A"/>
    <w:rsid w:val="00466AAC"/>
    <w:rsid w:val="0048529B"/>
    <w:rsid w:val="005F15F0"/>
    <w:rsid w:val="00890F3F"/>
    <w:rsid w:val="008A476A"/>
    <w:rsid w:val="00C7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9F233-CE83-4902-8FBE-27DF5A7A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76A"/>
    <w:rPr>
      <w:color w:val="0000FF"/>
      <w:u w:val="single"/>
    </w:rPr>
  </w:style>
  <w:style w:type="paragraph" w:styleId="NormalWeb">
    <w:name w:val="Normal (Web)"/>
    <w:basedOn w:val="Normal"/>
    <w:uiPriority w:val="99"/>
    <w:semiHidden/>
    <w:unhideWhenUsed/>
    <w:rsid w:val="008A476A"/>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A47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subscribermail.com/cc.cfm?sendto=https%3A%2F%2Fwww%2Eumsystem%2Eedu%2Fums%2Ffa%2Fprocurement%2Fone%5Fcard%3Futm%5Fsource%3DSubscriberMail%26utm%5Fmedium%3Demail%26utm%5Fcampaign%3Dfa%252Donecard%252D20160923%26utm%5Fterm%3D%26utm%5Fcontent%3Dc69c9b1c1158b966a3103840ebfab08c&amp;tempid=d84c11152efe41d895e6eb6f30de375e&amp;mailid=c69c9b1c1158b966a3103840ebfab08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subscribermail.com/cc.cfm?sendto=https%3A%2F%2Fwww%2Eumsystem%2Eedu%2Fums%2Ffa%2Fprocurement%2Fone%5Fcard%3Futm%5Fsource%3DSubscriberMail%26utm%5Fmedium%3Demail%26utm%5Fcampaign%3Dfa%252Donecard%252D20160923%26utm%5Fterm%3D%26utm%5Fcontent%3Dc69c9b1c1158b966a3103840ebfab08c&amp;tempid=d84c11152efe41d895e6eb6f30de375e&amp;mailid=c69c9b1c1158b966a3103840ebfab08c"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gif"/><Relationship Id="rId5" Type="http://schemas.openxmlformats.org/officeDocument/2006/relationships/hyperlink" Target="mailto:financesupport@umsystem.edu" TargetMode="External"/><Relationship Id="rId15" Type="http://schemas.openxmlformats.org/officeDocument/2006/relationships/customXml" Target="../customXml/item2.xml"/><Relationship Id="rId10" Type="http://schemas.openxmlformats.org/officeDocument/2006/relationships/hyperlink" Target="http://www.hcdigital.com/?utm_source=SubscriberMail&amp;utm_medium=email&amp;utm_campaign=PoweredBy" TargetMode="External"/><Relationship Id="rId4" Type="http://schemas.openxmlformats.org/officeDocument/2006/relationships/webSettings" Target="webSettings.xml"/><Relationship Id="rId9" Type="http://schemas.openxmlformats.org/officeDocument/2006/relationships/hyperlink" Target="mailto:FinanceSupport@umsystem.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D6C3245CC62B4A84D310316C82C2D9" ma:contentTypeVersion="0" ma:contentTypeDescription="Create a new document." ma:contentTypeScope="" ma:versionID="e63c1ad866ce72a44318365bed334600">
  <xsd:schema xmlns:xsd="http://www.w3.org/2001/XMLSchema" xmlns:xs="http://www.w3.org/2001/XMLSchema" xmlns:p="http://schemas.microsoft.com/office/2006/metadata/properties" targetNamespace="http://schemas.microsoft.com/office/2006/metadata/properties" ma:root="true" ma:fieldsID="dab2e4bd1f160c24c7e1374dbf1c11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6EF480-A1F9-4482-A4BC-71DD66258EA8}"/>
</file>

<file path=customXml/itemProps2.xml><?xml version="1.0" encoding="utf-8"?>
<ds:datastoreItem xmlns:ds="http://schemas.openxmlformats.org/officeDocument/2006/customXml" ds:itemID="{D8F50D8A-5CBA-41BB-9C1A-91B47B85D231}"/>
</file>

<file path=customXml/itemProps3.xml><?xml version="1.0" encoding="utf-8"?>
<ds:datastoreItem xmlns:ds="http://schemas.openxmlformats.org/officeDocument/2006/customXml" ds:itemID="{C2D602D5-227F-479F-8A4A-D0D9EB3E936F}"/>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Lessley, Pamela K.</dc:creator>
  <cp:keywords/>
  <dc:description/>
  <cp:lastModifiedBy>Lessley, Pamela K.</cp:lastModifiedBy>
  <cp:revision>2</cp:revision>
  <cp:lastPrinted>2016-09-26T16:23:00Z</cp:lastPrinted>
  <dcterms:created xsi:type="dcterms:W3CDTF">2016-09-26T16:23:00Z</dcterms:created>
  <dcterms:modified xsi:type="dcterms:W3CDTF">2016-09-26T16:23:00Z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0x0101001CD6C3245CC62B4A84D310316C82C2D9</vt:lpwstr>
  </property>
</Properties>
</file>