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BF2" w:rsidRDefault="00803BF2" w:rsidP="00803BF2"/>
    <w:tbl>
      <w:tblPr>
        <w:tblW w:w="7752" w:type="dxa"/>
        <w:jc w:val="center"/>
        <w:tblCellSpacing w:w="22" w:type="dxa"/>
        <w:tblBorders>
          <w:top w:val="outset" w:sz="8" w:space="0" w:color="999999"/>
          <w:left w:val="outset" w:sz="8" w:space="0" w:color="999999"/>
          <w:bottom w:val="outset" w:sz="8" w:space="0" w:color="999999"/>
          <w:right w:val="outset" w:sz="8" w:space="0" w:color="999999"/>
        </w:tblBorders>
        <w:tblCellMar>
          <w:left w:w="0" w:type="dxa"/>
          <w:right w:w="0" w:type="dxa"/>
        </w:tblCellMar>
        <w:tblLook w:val="04A0" w:firstRow="1" w:lastRow="0" w:firstColumn="1" w:lastColumn="0" w:noHBand="0" w:noVBand="1"/>
      </w:tblPr>
      <w:tblGrid>
        <w:gridCol w:w="9340"/>
      </w:tblGrid>
      <w:tr w:rsidR="00803BF2" w:rsidTr="00803BF2">
        <w:trPr>
          <w:tblCellSpacing w:w="22" w:type="dxa"/>
          <w:jc w:val="center"/>
        </w:trPr>
        <w:tc>
          <w:tcPr>
            <w:tcW w:w="0" w:type="auto"/>
            <w:tcBorders>
              <w:top w:val="outset" w:sz="8" w:space="0" w:color="999999"/>
              <w:left w:val="outset" w:sz="8" w:space="0" w:color="999999"/>
              <w:bottom w:val="outset" w:sz="8" w:space="0" w:color="999999"/>
              <w:right w:val="outset" w:sz="8" w:space="0" w:color="999999"/>
            </w:tcBorders>
            <w:vAlign w:val="center"/>
          </w:tcPr>
          <w:tbl>
            <w:tblPr>
              <w:tblW w:w="7500" w:type="dxa"/>
              <w:jc w:val="center"/>
              <w:tblCellSpacing w:w="22" w:type="dxa"/>
              <w:tblCellMar>
                <w:left w:w="0" w:type="dxa"/>
                <w:right w:w="0" w:type="dxa"/>
              </w:tblCellMar>
              <w:tblLook w:val="04A0" w:firstRow="1" w:lastRow="0" w:firstColumn="1" w:lastColumn="0" w:noHBand="0" w:noVBand="1"/>
            </w:tblPr>
            <w:tblGrid>
              <w:gridCol w:w="9212"/>
            </w:tblGrid>
            <w:tr w:rsidR="00803BF2">
              <w:trPr>
                <w:tblCellSpacing w:w="22" w:type="dxa"/>
                <w:jc w:val="center"/>
              </w:trPr>
              <w:tc>
                <w:tcPr>
                  <w:tcW w:w="0" w:type="auto"/>
                  <w:tcMar>
                    <w:top w:w="15" w:type="dxa"/>
                    <w:left w:w="15" w:type="dxa"/>
                    <w:bottom w:w="15" w:type="dxa"/>
                    <w:right w:w="15" w:type="dxa"/>
                  </w:tcMar>
                  <w:vAlign w:val="center"/>
                  <w:hideMark/>
                </w:tcPr>
                <w:p w:rsidR="00803BF2" w:rsidRDefault="00803BF2"/>
              </w:tc>
            </w:tr>
            <w:tr w:rsidR="00803BF2">
              <w:trPr>
                <w:tblCellSpacing w:w="22" w:type="dxa"/>
                <w:jc w:val="center"/>
              </w:trPr>
              <w:tc>
                <w:tcPr>
                  <w:tcW w:w="0" w:type="auto"/>
                  <w:hideMark/>
                </w:tcPr>
                <w:p w:rsidR="00803BF2" w:rsidRDefault="00803BF2">
                  <w:pPr>
                    <w:rPr>
                      <w:rFonts w:ascii="Corbel" w:hAnsi="Corbel"/>
                      <w:color w:val="333333"/>
                    </w:rPr>
                  </w:pPr>
                  <w:r>
                    <w:rPr>
                      <w:rFonts w:ascii="Corbel" w:hAnsi="Corbel"/>
                      <w:noProof/>
                      <w:color w:val="333333"/>
                      <w:lang w:eastAsia="en-US"/>
                    </w:rPr>
                    <w:drawing>
                      <wp:inline distT="0" distB="0" distL="0" distR="0">
                        <wp:extent cx="6153150" cy="2085975"/>
                        <wp:effectExtent l="0" t="0" r="0" b="9525"/>
                        <wp:docPr id="2" name="Picture 2" descr="https://www.eandi.org/wp-content/uploads/general_header-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andi.org/wp-content/uploads/general_header-2016.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53150" cy="2085975"/>
                                </a:xfrm>
                                <a:prstGeom prst="rect">
                                  <a:avLst/>
                                </a:prstGeom>
                                <a:noFill/>
                                <a:ln>
                                  <a:noFill/>
                                </a:ln>
                              </pic:spPr>
                            </pic:pic>
                          </a:graphicData>
                        </a:graphic>
                      </wp:inline>
                    </w:drawing>
                  </w:r>
                </w:p>
              </w:tc>
            </w:tr>
          </w:tbl>
          <w:p w:rsidR="00803BF2" w:rsidRDefault="00803BF2"/>
          <w:tbl>
            <w:tblPr>
              <w:tblW w:w="5000" w:type="pct"/>
              <w:tblCellSpacing w:w="0" w:type="dxa"/>
              <w:tblCellMar>
                <w:left w:w="0" w:type="dxa"/>
                <w:right w:w="0" w:type="dxa"/>
              </w:tblCellMar>
              <w:tblLook w:val="04A0" w:firstRow="1" w:lastRow="0" w:firstColumn="1" w:lastColumn="0" w:noHBand="0" w:noVBand="1"/>
            </w:tblPr>
            <w:tblGrid>
              <w:gridCol w:w="9212"/>
            </w:tblGrid>
            <w:tr w:rsidR="00803BF2">
              <w:trPr>
                <w:tblCellSpacing w:w="0" w:type="dxa"/>
              </w:trPr>
              <w:tc>
                <w:tcPr>
                  <w:tcW w:w="0" w:type="auto"/>
                  <w:vAlign w:val="center"/>
                  <w:hideMark/>
                </w:tcPr>
                <w:tbl>
                  <w:tblPr>
                    <w:tblpPr w:leftFromText="45" w:rightFromText="45" w:vertAnchor="text"/>
                    <w:tblW w:w="7740" w:type="dxa"/>
                    <w:tblCellSpacing w:w="22" w:type="dxa"/>
                    <w:tblCellMar>
                      <w:left w:w="0" w:type="dxa"/>
                      <w:right w:w="0" w:type="dxa"/>
                    </w:tblCellMar>
                    <w:tblLook w:val="04A0" w:firstRow="1" w:lastRow="0" w:firstColumn="1" w:lastColumn="0" w:noHBand="0" w:noVBand="1"/>
                  </w:tblPr>
                  <w:tblGrid>
                    <w:gridCol w:w="7557"/>
                    <w:gridCol w:w="183"/>
                  </w:tblGrid>
                  <w:tr w:rsidR="00803BF2">
                    <w:trPr>
                      <w:trHeight w:val="8304"/>
                      <w:tblCellSpacing w:w="22" w:type="dxa"/>
                    </w:trPr>
                    <w:tc>
                      <w:tcPr>
                        <w:tcW w:w="7680" w:type="dxa"/>
                        <w:tcMar>
                          <w:top w:w="150" w:type="dxa"/>
                          <w:left w:w="525" w:type="dxa"/>
                          <w:bottom w:w="225" w:type="dxa"/>
                          <w:right w:w="525" w:type="dxa"/>
                        </w:tcMar>
                      </w:tcPr>
                      <w:p w:rsidR="00803BF2" w:rsidRDefault="00803BF2">
                        <w:pPr>
                          <w:pStyle w:val="NormalWeb"/>
                          <w:rPr>
                            <w:rFonts w:ascii="Corbel" w:hAnsi="Corbel"/>
                            <w:color w:val="333333"/>
                          </w:rPr>
                        </w:pPr>
                        <w:r>
                          <w:rPr>
                            <w:rFonts w:ascii="Corbel" w:hAnsi="Corbel"/>
                            <w:color w:val="333333"/>
                          </w:rPr>
                          <w:t xml:space="preserve">Dear Member, </w:t>
                        </w:r>
                      </w:p>
                      <w:p w:rsidR="00803BF2" w:rsidRDefault="00803BF2">
                        <w:pPr>
                          <w:pStyle w:val="NormalWeb"/>
                          <w:spacing w:after="240" w:afterAutospacing="0"/>
                          <w:rPr>
                            <w:rFonts w:ascii="Corbel" w:hAnsi="Corbel"/>
                            <w:color w:val="333333"/>
                          </w:rPr>
                        </w:pPr>
                        <w:r>
                          <w:rPr>
                            <w:rFonts w:ascii="Corbel" w:hAnsi="Corbel"/>
                            <w:color w:val="333333"/>
                          </w:rPr>
                          <w:t xml:space="preserve">E&amp;I </w:t>
                        </w:r>
                        <w:proofErr w:type="gramStart"/>
                        <w:r>
                          <w:rPr>
                            <w:rFonts w:ascii="Corbel" w:hAnsi="Corbel"/>
                            <w:color w:val="333333"/>
                          </w:rPr>
                          <w:t>has been notified</w:t>
                        </w:r>
                        <w:proofErr w:type="gramEnd"/>
                        <w:r>
                          <w:rPr>
                            <w:rFonts w:ascii="Corbel" w:hAnsi="Corbel"/>
                            <w:color w:val="333333"/>
                          </w:rPr>
                          <w:t xml:space="preserve"> that </w:t>
                        </w:r>
                        <w:proofErr w:type="spellStart"/>
                        <w:r>
                          <w:rPr>
                            <w:rFonts w:ascii="Corbel" w:hAnsi="Corbel"/>
                            <w:color w:val="333333"/>
                          </w:rPr>
                          <w:t>Graebel</w:t>
                        </w:r>
                        <w:proofErr w:type="spellEnd"/>
                        <w:r>
                          <w:rPr>
                            <w:rFonts w:ascii="Corbel" w:hAnsi="Corbel"/>
                            <w:color w:val="333333"/>
                          </w:rPr>
                          <w:t xml:space="preserve"> Van Lines LLC (E&amp;I Contract # CNR01258) will cease service operations as of Friday, March 17, 2017. Members in need of moving and relocation services are encouraged to utilize our agreements with SIRVA (</w:t>
                        </w:r>
                        <w:hyperlink r:id="rId6" w:history="1">
                          <w:r>
                            <w:rPr>
                              <w:rStyle w:val="Hyperlink"/>
                              <w:rFonts w:ascii="Corbel" w:hAnsi="Corbel"/>
                            </w:rPr>
                            <w:t>Allied Van Lines</w:t>
                          </w:r>
                        </w:hyperlink>
                        <w:r>
                          <w:rPr>
                            <w:rFonts w:ascii="Corbel" w:hAnsi="Corbel"/>
                            <w:color w:val="333333"/>
                          </w:rPr>
                          <w:t xml:space="preserve"> and </w:t>
                        </w:r>
                        <w:hyperlink r:id="rId7" w:history="1">
                          <w:r>
                            <w:rPr>
                              <w:rStyle w:val="Hyperlink"/>
                              <w:rFonts w:ascii="Corbel" w:hAnsi="Corbel"/>
                            </w:rPr>
                            <w:t>North American Van Lines</w:t>
                          </w:r>
                        </w:hyperlink>
                        <w:r>
                          <w:rPr>
                            <w:rFonts w:ascii="Corbel" w:hAnsi="Corbel"/>
                            <w:color w:val="333333"/>
                          </w:rPr>
                          <w:t xml:space="preserve">) or </w:t>
                        </w:r>
                        <w:proofErr w:type="spellStart"/>
                        <w:r>
                          <w:rPr>
                            <w:rFonts w:ascii="Corbel" w:hAnsi="Corbel"/>
                            <w:color w:val="333333"/>
                          </w:rPr>
                          <w:t>UniGroup</w:t>
                        </w:r>
                        <w:proofErr w:type="spellEnd"/>
                        <w:r>
                          <w:rPr>
                            <w:rFonts w:ascii="Corbel" w:hAnsi="Corbel"/>
                            <w:color w:val="333333"/>
                          </w:rPr>
                          <w:t xml:space="preserve"> (</w:t>
                        </w:r>
                        <w:hyperlink r:id="rId8" w:history="1">
                          <w:r>
                            <w:rPr>
                              <w:rStyle w:val="Hyperlink"/>
                              <w:rFonts w:ascii="Corbel" w:hAnsi="Corbel"/>
                            </w:rPr>
                            <w:t>United Van Lines</w:t>
                          </w:r>
                        </w:hyperlink>
                        <w:r>
                          <w:rPr>
                            <w:rFonts w:ascii="Corbel" w:hAnsi="Corbel"/>
                            <w:color w:val="333333"/>
                          </w:rPr>
                          <w:t xml:space="preserve"> and </w:t>
                        </w:r>
                        <w:hyperlink r:id="rId9" w:history="1">
                          <w:r>
                            <w:rPr>
                              <w:rStyle w:val="Hyperlink"/>
                              <w:rFonts w:ascii="Corbel" w:hAnsi="Corbel"/>
                            </w:rPr>
                            <w:t>Mayflower</w:t>
                          </w:r>
                        </w:hyperlink>
                        <w:r>
                          <w:rPr>
                            <w:rFonts w:ascii="Corbel" w:hAnsi="Corbel"/>
                            <w:color w:val="333333"/>
                          </w:rPr>
                          <w:t>).</w:t>
                        </w:r>
                        <w:r>
                          <w:rPr>
                            <w:rFonts w:ascii="Corbel" w:hAnsi="Corbel"/>
                            <w:color w:val="333333"/>
                          </w:rPr>
                          <w:br/>
                        </w:r>
                        <w:r>
                          <w:rPr>
                            <w:rFonts w:ascii="Corbel" w:hAnsi="Corbel"/>
                            <w:color w:val="333333"/>
                          </w:rPr>
                          <w:br/>
                          <w:t xml:space="preserve">Below is an official statement from </w:t>
                        </w:r>
                        <w:proofErr w:type="spellStart"/>
                        <w:r>
                          <w:rPr>
                            <w:rFonts w:ascii="Corbel" w:hAnsi="Corbel"/>
                            <w:color w:val="333333"/>
                          </w:rPr>
                          <w:t>Graebel</w:t>
                        </w:r>
                        <w:proofErr w:type="spellEnd"/>
                        <w:r>
                          <w:rPr>
                            <w:rFonts w:ascii="Corbel" w:hAnsi="Corbel"/>
                            <w:color w:val="333333"/>
                          </w:rPr>
                          <w:t xml:space="preserve">. If you have any questions, please contact </w:t>
                        </w:r>
                        <w:hyperlink r:id="rId10" w:history="1">
                          <w:r>
                            <w:rPr>
                              <w:rStyle w:val="Hyperlink"/>
                              <w:rFonts w:ascii="Corbel" w:hAnsi="Corbel"/>
                            </w:rPr>
                            <w:t xml:space="preserve">Jen </w:t>
                          </w:r>
                          <w:proofErr w:type="spellStart"/>
                          <w:r>
                            <w:rPr>
                              <w:rStyle w:val="Hyperlink"/>
                              <w:rFonts w:ascii="Corbel" w:hAnsi="Corbel"/>
                            </w:rPr>
                            <w:t>Nisbet</w:t>
                          </w:r>
                          <w:proofErr w:type="spellEnd"/>
                        </w:hyperlink>
                        <w:r>
                          <w:rPr>
                            <w:rFonts w:ascii="Corbel" w:hAnsi="Corbel"/>
                            <w:color w:val="333333"/>
                          </w:rPr>
                          <w:t xml:space="preserve">, </w:t>
                        </w:r>
                        <w:r>
                          <w:rPr>
                            <w:rStyle w:val="Emphasis"/>
                            <w:rFonts w:ascii="Corbel" w:hAnsi="Corbel"/>
                            <w:color w:val="333333"/>
                          </w:rPr>
                          <w:t>Portfolio Support Executive - Diversified Products</w:t>
                        </w:r>
                        <w:r>
                          <w:rPr>
                            <w:rFonts w:ascii="Corbel" w:hAnsi="Corbel"/>
                            <w:color w:val="333333"/>
                          </w:rPr>
                          <w:t>.</w:t>
                        </w:r>
                      </w:p>
                      <w:p w:rsidR="00803BF2" w:rsidRDefault="00803BF2">
                        <w:pPr>
                          <w:jc w:val="center"/>
                          <w:rPr>
                            <w:rFonts w:ascii="Corbel" w:hAnsi="Corbel"/>
                            <w:color w:val="333333"/>
                          </w:rPr>
                        </w:pPr>
                        <w:r>
                          <w:rPr>
                            <w:rFonts w:ascii="Corbel" w:hAnsi="Corbel"/>
                            <w:color w:val="333333"/>
                          </w:rPr>
                          <w:pict>
                            <v:rect id="_x0000_i1026" style="width:468pt;height:2.25pt" o:hralign="center" o:hrstd="t" o:hr="t" fillcolor="#a0a0a0" stroked="f"/>
                          </w:pict>
                        </w:r>
                      </w:p>
                      <w:p w:rsidR="00803BF2" w:rsidRDefault="00803BF2">
                        <w:pPr>
                          <w:rPr>
                            <w:rFonts w:ascii="Corbel" w:hAnsi="Corbel"/>
                            <w:color w:val="333333"/>
                          </w:rPr>
                        </w:pPr>
                      </w:p>
                      <w:p w:rsidR="00803BF2" w:rsidRDefault="00803BF2">
                        <w:pPr>
                          <w:rPr>
                            <w:rFonts w:ascii="Corbel" w:hAnsi="Corbel"/>
                            <w:color w:val="333333"/>
                          </w:rPr>
                        </w:pPr>
                        <w:r>
                          <w:rPr>
                            <w:rStyle w:val="Strong"/>
                            <w:rFonts w:ascii="Corbel" w:hAnsi="Corbel"/>
                            <w:color w:val="333333"/>
                          </w:rPr>
                          <w:t xml:space="preserve">Official Statement from </w:t>
                        </w:r>
                        <w:proofErr w:type="spellStart"/>
                        <w:r>
                          <w:rPr>
                            <w:rStyle w:val="Strong"/>
                            <w:rFonts w:ascii="Corbel" w:hAnsi="Corbel"/>
                            <w:color w:val="333333"/>
                          </w:rPr>
                          <w:t>Graebel</w:t>
                        </w:r>
                        <w:proofErr w:type="spellEnd"/>
                        <w:r>
                          <w:rPr>
                            <w:rStyle w:val="Strong"/>
                            <w:rFonts w:ascii="Corbel" w:hAnsi="Corbel"/>
                            <w:color w:val="333333"/>
                          </w:rPr>
                          <w:t xml:space="preserve"> Van Lines</w:t>
                        </w:r>
                        <w:r>
                          <w:rPr>
                            <w:rFonts w:ascii="Corbel" w:hAnsi="Corbel"/>
                            <w:color w:val="333333"/>
                          </w:rPr>
                          <w:br/>
                        </w:r>
                        <w:r>
                          <w:rPr>
                            <w:rStyle w:val="Emphasis"/>
                            <w:rFonts w:ascii="Corbel" w:hAnsi="Corbel"/>
                            <w:color w:val="333333"/>
                          </w:rPr>
                          <w:t xml:space="preserve">Effective immediately </w:t>
                        </w:r>
                        <w:proofErr w:type="spellStart"/>
                        <w:r>
                          <w:rPr>
                            <w:rStyle w:val="Emphasis"/>
                            <w:rFonts w:ascii="Corbel" w:hAnsi="Corbel"/>
                            <w:color w:val="333333"/>
                          </w:rPr>
                          <w:t>Graebel</w:t>
                        </w:r>
                        <w:proofErr w:type="spellEnd"/>
                        <w:r>
                          <w:rPr>
                            <w:rStyle w:val="Emphasis"/>
                            <w:rFonts w:ascii="Corbel" w:hAnsi="Corbel"/>
                            <w:color w:val="333333"/>
                          </w:rPr>
                          <w:t xml:space="preserve"> Van Lines is halting all operational aspects of the organization. After legal and senior management communication, we can now share that based upon our IT platform failures, and the subsequent domino effects, new ownership has opted to cease operations of </w:t>
                        </w:r>
                        <w:proofErr w:type="spellStart"/>
                        <w:r>
                          <w:rPr>
                            <w:rStyle w:val="Emphasis"/>
                            <w:rFonts w:ascii="Corbel" w:hAnsi="Corbel"/>
                            <w:color w:val="333333"/>
                          </w:rPr>
                          <w:t>Graebel</w:t>
                        </w:r>
                        <w:proofErr w:type="spellEnd"/>
                        <w:r>
                          <w:rPr>
                            <w:rStyle w:val="Emphasis"/>
                            <w:rFonts w:ascii="Corbel" w:hAnsi="Corbel"/>
                            <w:color w:val="333333"/>
                          </w:rPr>
                          <w:t xml:space="preserve"> Van Lines, </w:t>
                        </w:r>
                        <w:proofErr w:type="spellStart"/>
                        <w:r>
                          <w:rPr>
                            <w:rStyle w:val="Emphasis"/>
                            <w:rFonts w:ascii="Corbel" w:hAnsi="Corbel"/>
                            <w:color w:val="333333"/>
                          </w:rPr>
                          <w:t>LLC.Our</w:t>
                        </w:r>
                        <w:proofErr w:type="spellEnd"/>
                        <w:r>
                          <w:rPr>
                            <w:rStyle w:val="Emphasis"/>
                            <w:rFonts w:ascii="Corbel" w:hAnsi="Corbel"/>
                            <w:color w:val="333333"/>
                          </w:rPr>
                          <w:t xml:space="preserve"> number one concern remains the customers to ensure that alternative arrangements </w:t>
                        </w:r>
                        <w:proofErr w:type="gramStart"/>
                        <w:r>
                          <w:rPr>
                            <w:rStyle w:val="Emphasis"/>
                            <w:rFonts w:ascii="Corbel" w:hAnsi="Corbel"/>
                            <w:color w:val="333333"/>
                          </w:rPr>
                          <w:t>can be made</w:t>
                        </w:r>
                        <w:proofErr w:type="gramEnd"/>
                        <w:r>
                          <w:rPr>
                            <w:rStyle w:val="Emphasis"/>
                            <w:rFonts w:ascii="Corbel" w:hAnsi="Corbel"/>
                            <w:color w:val="333333"/>
                          </w:rPr>
                          <w:t xml:space="preserve">. </w:t>
                        </w:r>
                      </w:p>
                      <w:p w:rsidR="00803BF2" w:rsidRDefault="00803BF2">
                        <w:pPr>
                          <w:pStyle w:val="NormalWeb"/>
                          <w:rPr>
                            <w:rFonts w:ascii="Corbel" w:hAnsi="Corbel"/>
                            <w:color w:val="333333"/>
                          </w:rPr>
                        </w:pPr>
                        <w:r>
                          <w:rPr>
                            <w:rStyle w:val="Emphasis"/>
                            <w:rFonts w:ascii="Corbel" w:hAnsi="Corbel"/>
                            <w:color w:val="333333"/>
                          </w:rPr>
                          <w:t xml:space="preserve">All shipments currently loaded and on a truck </w:t>
                        </w:r>
                        <w:proofErr w:type="gramStart"/>
                        <w:r>
                          <w:rPr>
                            <w:rStyle w:val="Emphasis"/>
                            <w:rFonts w:ascii="Corbel" w:hAnsi="Corbel"/>
                            <w:color w:val="333333"/>
                          </w:rPr>
                          <w:t>will be serviced</w:t>
                        </w:r>
                        <w:proofErr w:type="gramEnd"/>
                        <w:r>
                          <w:rPr>
                            <w:rStyle w:val="Emphasis"/>
                            <w:rFonts w:ascii="Corbel" w:hAnsi="Corbel"/>
                            <w:color w:val="333333"/>
                          </w:rPr>
                          <w:t xml:space="preserve"> to completion.</w:t>
                        </w:r>
                      </w:p>
                      <w:p w:rsidR="00803BF2" w:rsidRDefault="00803BF2">
                        <w:pPr>
                          <w:pStyle w:val="NormalWeb"/>
                          <w:rPr>
                            <w:rFonts w:ascii="Corbel" w:hAnsi="Corbel"/>
                            <w:color w:val="333333"/>
                          </w:rPr>
                        </w:pPr>
                        <w:proofErr w:type="gramStart"/>
                        <w:r>
                          <w:rPr>
                            <w:rStyle w:val="Emphasis"/>
                            <w:rFonts w:ascii="Corbel" w:hAnsi="Corbel"/>
                            <w:color w:val="333333"/>
                          </w:rPr>
                          <w:lastRenderedPageBreak/>
                          <w:t>Shipments not yet loaded or in route will require alternative arrangements.</w:t>
                        </w:r>
                        <w:proofErr w:type="gramEnd"/>
                        <w:r>
                          <w:rPr>
                            <w:rStyle w:val="Emphasis"/>
                            <w:rFonts w:ascii="Corbel" w:hAnsi="Corbel"/>
                            <w:color w:val="333333"/>
                          </w:rPr>
                          <w:t xml:space="preserve"> Two options available include:</w:t>
                        </w:r>
                      </w:p>
                      <w:p w:rsidR="00803BF2" w:rsidRDefault="00803BF2" w:rsidP="002B3F0E">
                        <w:pPr>
                          <w:numPr>
                            <w:ilvl w:val="0"/>
                            <w:numId w:val="1"/>
                          </w:numPr>
                          <w:spacing w:before="100" w:beforeAutospacing="1" w:after="100" w:afterAutospacing="1"/>
                          <w:rPr>
                            <w:rStyle w:val="Emphasis"/>
                          </w:rPr>
                        </w:pPr>
                        <w:r>
                          <w:rPr>
                            <w:rStyle w:val="Emphasis"/>
                            <w:rFonts w:ascii="Corbel" w:hAnsi="Corbel"/>
                            <w:color w:val="333333"/>
                          </w:rPr>
                          <w:t xml:space="preserve">Shipment will need to </w:t>
                        </w:r>
                        <w:proofErr w:type="gramStart"/>
                        <w:r>
                          <w:rPr>
                            <w:rStyle w:val="Emphasis"/>
                            <w:rFonts w:ascii="Corbel" w:hAnsi="Corbel"/>
                            <w:color w:val="333333"/>
                          </w:rPr>
                          <w:t>be assigned</w:t>
                        </w:r>
                        <w:proofErr w:type="gramEnd"/>
                        <w:r>
                          <w:rPr>
                            <w:rStyle w:val="Emphasis"/>
                            <w:rFonts w:ascii="Corbel" w:hAnsi="Corbel"/>
                            <w:color w:val="333333"/>
                          </w:rPr>
                          <w:t xml:space="preserve"> to an alternative carrier. </w:t>
                        </w:r>
                      </w:p>
                      <w:p w:rsidR="00803BF2" w:rsidRDefault="00803BF2" w:rsidP="002B3F0E">
                        <w:pPr>
                          <w:numPr>
                            <w:ilvl w:val="0"/>
                            <w:numId w:val="1"/>
                          </w:numPr>
                          <w:spacing w:before="100" w:beforeAutospacing="1" w:after="100" w:afterAutospacing="1"/>
                        </w:pPr>
                        <w:r>
                          <w:rPr>
                            <w:rStyle w:val="Emphasis"/>
                            <w:rFonts w:ascii="Corbel" w:hAnsi="Corbel"/>
                            <w:color w:val="333333"/>
                          </w:rPr>
                          <w:t xml:space="preserve">Due to the selling of rolling stock and assets across the country, if an addendum to the contract </w:t>
                        </w:r>
                        <w:proofErr w:type="gramStart"/>
                        <w:r>
                          <w:rPr>
                            <w:rStyle w:val="Emphasis"/>
                            <w:rFonts w:ascii="Corbel" w:hAnsi="Corbel"/>
                            <w:color w:val="333333"/>
                          </w:rPr>
                          <w:t>is signed</w:t>
                        </w:r>
                        <w:proofErr w:type="gramEnd"/>
                        <w:r>
                          <w:rPr>
                            <w:rStyle w:val="Emphasis"/>
                            <w:rFonts w:ascii="Corbel" w:hAnsi="Corbel"/>
                            <w:color w:val="333333"/>
                          </w:rPr>
                          <w:t>, the move can be reassigned to the United Group. Current contractual terms would remain in effect.</w:t>
                        </w:r>
                      </w:p>
                      <w:p w:rsidR="00803BF2" w:rsidRDefault="00803BF2">
                        <w:pPr>
                          <w:pStyle w:val="NormalWeb"/>
                          <w:rPr>
                            <w:rStyle w:val="Emphasis"/>
                          </w:rPr>
                        </w:pPr>
                        <w:r>
                          <w:rPr>
                            <w:rStyle w:val="Emphasis"/>
                            <w:rFonts w:ascii="Corbel" w:hAnsi="Corbel"/>
                            <w:color w:val="333333"/>
                          </w:rPr>
                          <w:t xml:space="preserve">Again, we apologize for the late notice and the additional </w:t>
                        </w:r>
                        <w:proofErr w:type="gramStart"/>
                        <w:r>
                          <w:rPr>
                            <w:rStyle w:val="Emphasis"/>
                            <w:rFonts w:ascii="Corbel" w:hAnsi="Corbel"/>
                            <w:color w:val="333333"/>
                          </w:rPr>
                          <w:t>leg work</w:t>
                        </w:r>
                        <w:proofErr w:type="gramEnd"/>
                        <w:r>
                          <w:rPr>
                            <w:rStyle w:val="Emphasis"/>
                            <w:rFonts w:ascii="Corbel" w:hAnsi="Corbel"/>
                            <w:color w:val="333333"/>
                          </w:rPr>
                          <w:t xml:space="preserve"> this may cause your organization. </w:t>
                        </w:r>
                      </w:p>
                    </w:tc>
                    <w:tc>
                      <w:tcPr>
                        <w:tcW w:w="120" w:type="dxa"/>
                        <w:tcMar>
                          <w:top w:w="15" w:type="dxa"/>
                          <w:left w:w="15" w:type="dxa"/>
                          <w:bottom w:w="15" w:type="dxa"/>
                          <w:right w:w="15" w:type="dxa"/>
                        </w:tcMar>
                        <w:vAlign w:val="center"/>
                        <w:hideMark/>
                      </w:tcPr>
                      <w:p w:rsidR="00803BF2" w:rsidRDefault="00803BF2">
                        <w:pPr>
                          <w:rPr>
                            <w:rStyle w:val="Emphasis"/>
                          </w:rPr>
                        </w:pPr>
                      </w:p>
                    </w:tc>
                  </w:tr>
                </w:tbl>
                <w:p w:rsidR="00803BF2" w:rsidRDefault="00803BF2">
                  <w:pPr>
                    <w:rPr>
                      <w:rFonts w:eastAsia="Times New Roman"/>
                      <w:sz w:val="20"/>
                      <w:szCs w:val="20"/>
                      <w:lang w:eastAsia="en-US"/>
                    </w:rPr>
                  </w:pPr>
                </w:p>
              </w:tc>
            </w:tr>
            <w:tr w:rsidR="00803BF2">
              <w:trPr>
                <w:tblCellSpacing w:w="0" w:type="dxa"/>
              </w:trPr>
              <w:tc>
                <w:tcPr>
                  <w:tcW w:w="0" w:type="auto"/>
                  <w:vAlign w:val="center"/>
                  <w:hideMark/>
                </w:tcPr>
                <w:p w:rsidR="00803BF2" w:rsidRDefault="00803BF2">
                  <w:pPr>
                    <w:rPr>
                      <w:rFonts w:eastAsia="Times New Roman"/>
                      <w:sz w:val="20"/>
                      <w:szCs w:val="20"/>
                      <w:lang w:eastAsia="en-US"/>
                    </w:rPr>
                  </w:pPr>
                </w:p>
              </w:tc>
            </w:tr>
            <w:tr w:rsidR="00803BF2">
              <w:trPr>
                <w:tblCellSpacing w:w="0" w:type="dxa"/>
              </w:trPr>
              <w:tc>
                <w:tcPr>
                  <w:tcW w:w="0" w:type="auto"/>
                  <w:vAlign w:val="center"/>
                  <w:hideMark/>
                </w:tcPr>
                <w:p w:rsidR="00803BF2" w:rsidRDefault="00803BF2">
                  <w:pPr>
                    <w:rPr>
                      <w:rFonts w:eastAsia="Times New Roman"/>
                      <w:sz w:val="20"/>
                      <w:szCs w:val="20"/>
                      <w:lang w:eastAsia="en-US"/>
                    </w:rPr>
                  </w:pPr>
                </w:p>
              </w:tc>
            </w:tr>
            <w:tr w:rsidR="00803BF2">
              <w:trPr>
                <w:tblCellSpacing w:w="0" w:type="dxa"/>
              </w:trPr>
              <w:tc>
                <w:tcPr>
                  <w:tcW w:w="0" w:type="auto"/>
                  <w:vAlign w:val="center"/>
                  <w:hideMark/>
                </w:tcPr>
                <w:p w:rsidR="00803BF2" w:rsidRDefault="00803BF2">
                  <w:pPr>
                    <w:pStyle w:val="NormalWeb"/>
                    <w:spacing w:before="0"/>
                  </w:pPr>
                  <w:r>
                    <w:rPr>
                      <w:noProof/>
                      <w:lang w:eastAsia="en-US"/>
                    </w:rPr>
                    <mc:AlternateContent>
                      <mc:Choice Requires="wps">
                        <w:drawing>
                          <wp:anchor distT="0" distB="0" distL="114300" distR="114300" simplePos="0" relativeHeight="251658240" behindDoc="0" locked="1" layoutInCell="1" allowOverlap="1">
                            <wp:simplePos x="0" y="0"/>
                            <wp:positionH relativeFrom="character">
                              <wp:posOffset>1666875</wp:posOffset>
                            </wp:positionH>
                            <wp:positionV relativeFrom="line">
                              <wp:posOffset>276225</wp:posOffset>
                            </wp:positionV>
                            <wp:extent cx="4352925" cy="3810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2925" cy="381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3296D" id="Rectangle 3" o:spid="_x0000_s1026" style="position:absolute;margin-left:131.25pt;margin-top:21.75pt;width:342.75pt;height:30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" filled="f" stroked="f">
                            <w10:wrap anchory="line"/>
                            <w10:anchorlock/>
                          </v:rect>
                        </w:pict>
                      </mc:Fallback>
                    </mc:AlternateContent>
                  </w:r>
                  <w:r>
                    <w:rPr>
                      <w:noProof/>
                      <w:lang w:eastAsia="en-US"/>
                    </w:rPr>
                    <w:drawing>
                      <wp:inline distT="0" distB="0" distL="0" distR="0">
                        <wp:extent cx="6210300" cy="847725"/>
                        <wp:effectExtent l="0" t="0" r="0" b="9525"/>
                        <wp:docPr id="1" name="Picture 1" descr="http://www.eandi.org/wp-content/uploads/2016/07/steve-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andi.org/wp-content/uploads/2016/07/steve-foote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10300" cy="847725"/>
                                </a:xfrm>
                                <a:prstGeom prst="rect">
                                  <a:avLst/>
                                </a:prstGeom>
                                <a:noFill/>
                                <a:ln>
                                  <a:noFill/>
                                </a:ln>
                              </pic:spPr>
                            </pic:pic>
                          </a:graphicData>
                        </a:graphic>
                      </wp:inline>
                    </w:drawing>
                  </w:r>
                </w:p>
              </w:tc>
            </w:tr>
          </w:tbl>
          <w:p w:rsidR="00803BF2" w:rsidRDefault="00803BF2">
            <w:pPr>
              <w:rPr>
                <w:rFonts w:ascii="MS PGothic" w:hAnsi="MS PGothic"/>
              </w:rPr>
            </w:pPr>
          </w:p>
        </w:tc>
      </w:tr>
    </w:tbl>
    <w:p w:rsidR="00F67152" w:rsidRDefault="00F67152">
      <w:bookmarkStart w:id="0" w:name="_GoBack"/>
      <w:bookmarkEnd w:id="0"/>
    </w:p>
    <w:sectPr w:rsidR="00F671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B360EC"/>
    <w:multiLevelType w:val="multilevel"/>
    <w:tmpl w:val="00028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BF2"/>
    <w:rsid w:val="00803BF2"/>
    <w:rsid w:val="00F67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3ABFF-0400-4CB1-80BD-B11A883CB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BF2"/>
    <w:pPr>
      <w:spacing w:after="0" w:line="240" w:lineRule="auto"/>
    </w:pPr>
    <w:rPr>
      <w:rFonts w:ascii="Times New Roman" w:eastAsia="MS PGothic"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3BF2"/>
    <w:rPr>
      <w:color w:val="0872AE"/>
      <w:u w:val="single"/>
    </w:rPr>
  </w:style>
  <w:style w:type="paragraph" w:styleId="NormalWeb">
    <w:name w:val="Normal (Web)"/>
    <w:basedOn w:val="Normal"/>
    <w:uiPriority w:val="99"/>
    <w:semiHidden/>
    <w:unhideWhenUsed/>
    <w:rsid w:val="00803BF2"/>
    <w:pPr>
      <w:spacing w:before="100" w:beforeAutospacing="1" w:after="100" w:afterAutospacing="1"/>
    </w:pPr>
  </w:style>
  <w:style w:type="character" w:styleId="Emphasis">
    <w:name w:val="Emphasis"/>
    <w:basedOn w:val="DefaultParagraphFont"/>
    <w:uiPriority w:val="20"/>
    <w:qFormat/>
    <w:rsid w:val="00803BF2"/>
    <w:rPr>
      <w:i/>
      <w:iCs/>
    </w:rPr>
  </w:style>
  <w:style w:type="character" w:styleId="Strong">
    <w:name w:val="Strong"/>
    <w:basedOn w:val="DefaultParagraphFont"/>
    <w:uiPriority w:val="22"/>
    <w:qFormat/>
    <w:rsid w:val="00803B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59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ndi.org/contracts/united-van-lin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andi.org/contracts/north-american-van-lin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ndi.org/contracts/allied-van-lines/" TargetMode="External"/><Relationship Id="rId11"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hyperlink" Target="mailto:jnisbet@eandi.org" TargetMode="External"/><Relationship Id="rId4" Type="http://schemas.openxmlformats.org/officeDocument/2006/relationships/webSettings" Target="webSettings.xml"/><Relationship Id="rId9" Type="http://schemas.openxmlformats.org/officeDocument/2006/relationships/hyperlink" Target="https://www.eandi.org/contracts/mayflow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Missouri-Columbia</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Dodson, Marsha</dc:creator>
  <cp:keywords/>
  <dc:description/>
  <cp:lastModifiedBy>Dodson, Marsha</cp:lastModifiedBy>
  <cp:revision>1</cp:revision>
  <dcterms:created xsi:type="dcterms:W3CDTF">2017-03-28T18:20:00Z</dcterms:created>
  <dcterms:modified xsi:type="dcterms:W3CDTF">2017-03-28T18:20:00Z</dcterms:modified>
</cp:coreProperties>
</file>