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2617" w14:textId="1BCCB3FD"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780414DA" w:rsidR="00141FD6" w:rsidRPr="009777E6" w:rsidRDefault="00647168" w:rsidP="00A63F66">
      <w:pPr>
        <w:spacing w:line="240" w:lineRule="auto"/>
        <w:jc w:val="center"/>
        <w:rPr>
          <w:b/>
        </w:rPr>
      </w:pPr>
      <w:bookmarkStart w:id="0" w:name="_Hlk136342029"/>
      <w:r>
        <w:rPr>
          <w:b/>
        </w:rPr>
        <w:t>TH</w:t>
      </w:r>
      <w:r w:rsidR="00BD659D">
        <w:rPr>
          <w:b/>
        </w:rPr>
        <w:t>IRD PARTY FINANCIAL LOGISTICS for</w:t>
      </w:r>
      <w:r>
        <w:rPr>
          <w:b/>
        </w:rPr>
        <w:t xml:space="preserve"> NOVARTIS CAR-T </w:t>
      </w:r>
      <w:r w:rsidR="00E87370">
        <w:rPr>
          <w:b/>
        </w:rPr>
        <w:t>THERAPIES</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37F6755B" w:rsidR="003216E9" w:rsidRPr="009777E6" w:rsidRDefault="004B52B3" w:rsidP="00A63F66">
      <w:pPr>
        <w:spacing w:line="240" w:lineRule="auto"/>
        <w:jc w:val="center"/>
        <w:rPr>
          <w:b/>
        </w:rPr>
      </w:pPr>
      <w:r>
        <w:rPr>
          <w:b/>
        </w:rPr>
        <w:t>RFB</w:t>
      </w:r>
      <w:r w:rsidR="003216E9" w:rsidRPr="009777E6">
        <w:rPr>
          <w:b/>
        </w:rPr>
        <w:t xml:space="preserve"> # </w:t>
      </w:r>
      <w:r w:rsidR="00647168">
        <w:rPr>
          <w:b/>
        </w:rPr>
        <w:t>31145</w:t>
      </w:r>
    </w:p>
    <w:p w14:paraId="5C0B25BF" w14:textId="02E2643B"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r w:rsidR="004F0A94">
        <w:rPr>
          <w:b/>
        </w:rPr>
        <w:t>FRIDAY, JUNE</w:t>
      </w:r>
      <w:r w:rsidR="00BD659D">
        <w:rPr>
          <w:b/>
        </w:rPr>
        <w:t xml:space="preserve"> 16</w:t>
      </w:r>
      <w:r w:rsidR="00E70744">
        <w:rPr>
          <w:b/>
        </w:rPr>
        <w:t>, 2023</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FBE4E3F" w:rsidR="003216E9" w:rsidRPr="00324283" w:rsidRDefault="00141FD6" w:rsidP="009777E6">
      <w:pPr>
        <w:pStyle w:val="NoSpacing"/>
        <w:jc w:val="right"/>
      </w:pPr>
      <w:r>
        <w:t>Marcy Maddox</w:t>
      </w:r>
    </w:p>
    <w:p w14:paraId="3D8B753E" w14:textId="750DC745" w:rsidR="003216E9" w:rsidRPr="00324283" w:rsidRDefault="00141FD6" w:rsidP="009777E6">
      <w:pPr>
        <w:pStyle w:val="NoSpacing"/>
        <w:jc w:val="right"/>
      </w:pPr>
      <w:r>
        <w:t>Director, Sourcing and Contracting</w:t>
      </w:r>
    </w:p>
    <w:p w14:paraId="2A1DB0E7" w14:textId="7B7624A4" w:rsidR="003216E9" w:rsidRPr="00324283" w:rsidRDefault="00E814A8" w:rsidP="009777E6">
      <w:pPr>
        <w:pStyle w:val="NoSpacing"/>
        <w:jc w:val="right"/>
      </w:pPr>
      <w:r w:rsidRPr="00324283">
        <w:t>MU Health Care Supply Chain</w:t>
      </w:r>
    </w:p>
    <w:p w14:paraId="50185E8A" w14:textId="3A6B991E" w:rsidR="003216E9" w:rsidRPr="009777E6" w:rsidRDefault="00F84E69" w:rsidP="009777E6">
      <w:pPr>
        <w:pStyle w:val="NoSpacing"/>
        <w:jc w:val="right"/>
      </w:pPr>
      <w:r w:rsidRPr="00324283">
        <w:t>2</w:t>
      </w:r>
      <w:r w:rsidR="00E96C9E">
        <w:t>401</w:t>
      </w:r>
      <w:r w:rsidRPr="00324283">
        <w:t xml:space="preserve"> LeMone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1B75C116"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E70744">
        <w:rPr>
          <w:rFonts w:eastAsia="Times New Roman"/>
        </w:rPr>
        <w:t xml:space="preserve"> </w:t>
      </w:r>
      <w:r w:rsidR="00BD659D">
        <w:rPr>
          <w:rFonts w:eastAsia="Times New Roman"/>
        </w:rPr>
        <w:t>June 1</w:t>
      </w:r>
      <w:r w:rsidR="00E70744">
        <w:rPr>
          <w:rFonts w:eastAsia="Times New Roman"/>
        </w:rPr>
        <w:t>, 2023</w:t>
      </w:r>
    </w:p>
    <w:p w14:paraId="1D9DC0F5" w14:textId="0ECEF81F" w:rsidR="003216E9" w:rsidRPr="008C21BE" w:rsidRDefault="004B52B3" w:rsidP="007E5CB7">
      <w:pPr>
        <w:jc w:val="center"/>
        <w:rPr>
          <w:rFonts w:eastAsia="Times New Roman"/>
          <w:b/>
          <w:sz w:val="24"/>
          <w:highlight w:val="yellow"/>
          <w:u w:val="single"/>
        </w:rPr>
      </w:pPr>
      <w:r>
        <w:rPr>
          <w:rFonts w:eastAsia="Times New Roman"/>
          <w:b/>
          <w:sz w:val="24"/>
          <w:u w:val="single"/>
        </w:rPr>
        <w:lastRenderedPageBreak/>
        <w:t>RFB</w:t>
      </w:r>
      <w:r w:rsidR="007E5CB7" w:rsidRPr="00FB2657">
        <w:rPr>
          <w:rFonts w:eastAsia="Times New Roman"/>
          <w:b/>
          <w:sz w:val="24"/>
          <w:u w:val="single"/>
        </w:rPr>
        <w:t xml:space="preserve"> </w:t>
      </w:r>
      <w:r w:rsidR="00547E30">
        <w:rPr>
          <w:rFonts w:eastAsia="Times New Roman"/>
          <w:b/>
          <w:sz w:val="24"/>
          <w:u w:val="single"/>
        </w:rPr>
        <w:t>#</w:t>
      </w:r>
      <w:r w:rsidR="005D36A5">
        <w:rPr>
          <w:rFonts w:eastAsia="Times New Roman"/>
          <w:b/>
          <w:sz w:val="24"/>
          <w:u w:val="single"/>
        </w:rPr>
        <w:t xml:space="preserve"> </w:t>
      </w:r>
      <w:r w:rsidR="00647168">
        <w:rPr>
          <w:rFonts w:eastAsia="Times New Roman"/>
          <w:b/>
          <w:sz w:val="24"/>
          <w:u w:val="single"/>
        </w:rPr>
        <w:t>31145</w:t>
      </w:r>
    </w:p>
    <w:p w14:paraId="6C98F74C" w14:textId="66374DBF" w:rsidR="004B52B3" w:rsidRPr="009777E6" w:rsidRDefault="00647168" w:rsidP="004B52B3">
      <w:pPr>
        <w:spacing w:line="240" w:lineRule="auto"/>
        <w:jc w:val="center"/>
        <w:rPr>
          <w:b/>
        </w:rPr>
      </w:pPr>
      <w:r>
        <w:rPr>
          <w:b/>
        </w:rPr>
        <w:t>TH</w:t>
      </w:r>
      <w:r w:rsidR="004F0A94">
        <w:rPr>
          <w:b/>
        </w:rPr>
        <w:t>IRD PARTY FINANCIAL LOGISTICS for</w:t>
      </w:r>
      <w:r>
        <w:rPr>
          <w:b/>
        </w:rPr>
        <w:t xml:space="preserve"> NOVARTIS CAR-T </w:t>
      </w:r>
      <w:r w:rsidR="00E87370">
        <w:rPr>
          <w:b/>
        </w:rPr>
        <w:t>THERAPIES</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603663" w:rsidRDefault="00FB2657" w:rsidP="00A63F66">
      <w:pPr>
        <w:rPr>
          <w:rFonts w:eastAsia="Times New Roman"/>
          <w:sz w:val="24"/>
        </w:rPr>
      </w:pPr>
      <w:r w:rsidRPr="00603663">
        <w:rPr>
          <w:rFonts w:eastAsia="Times New Roman"/>
          <w:sz w:val="24"/>
        </w:rPr>
        <w:t xml:space="preserve">Notice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275F21FD" w:rsidR="005E63EE" w:rsidRPr="00603663" w:rsidRDefault="00FB2657" w:rsidP="00A63F66">
      <w:pPr>
        <w:rPr>
          <w:rFonts w:eastAsia="Times New Roman"/>
          <w:sz w:val="24"/>
        </w:rPr>
      </w:pPr>
      <w:r w:rsidRPr="00603663">
        <w:rPr>
          <w:rFonts w:eastAsia="Times New Roman"/>
          <w:sz w:val="24"/>
        </w:rPr>
        <w:t xml:space="preserve">General Terms and Conditions &amp; Instructions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44F9CD1"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A653A0">
        <w:rPr>
          <w:rFonts w:eastAsia="Times New Roman"/>
          <w:sz w:val="24"/>
        </w:rPr>
        <w:t>3</w:t>
      </w:r>
    </w:p>
    <w:p w14:paraId="167105B4" w14:textId="31767A92" w:rsidR="00FB2657" w:rsidRPr="00603663" w:rsidRDefault="00CB715A" w:rsidP="00A63F66">
      <w:pPr>
        <w:rPr>
          <w:rFonts w:eastAsia="Times New Roman"/>
          <w:sz w:val="24"/>
        </w:rPr>
      </w:pPr>
      <w:r>
        <w:rPr>
          <w:rFonts w:eastAsia="Times New Roman"/>
          <w:sz w:val="24"/>
        </w:rPr>
        <w:t xml:space="preserve">Bid </w:t>
      </w:r>
      <w:r w:rsidR="00FB2657" w:rsidRPr="00603663">
        <w:rPr>
          <w:rFonts w:eastAsia="Times New Roman"/>
          <w:sz w:val="24"/>
        </w:rPr>
        <w:t>Form</w:t>
      </w:r>
      <w:r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65CC65CB"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w:t>
      </w:r>
      <w:r w:rsidR="00A653A0">
        <w:rPr>
          <w:rFonts w:eastAsia="Times New Roman"/>
          <w:sz w:val="24"/>
        </w:rPr>
        <w:t>8</w:t>
      </w:r>
    </w:p>
    <w:p w14:paraId="26FD9A47" w14:textId="1A8C4BF6"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w:t>
      </w:r>
      <w:r w:rsidR="00A653A0">
        <w:rPr>
          <w:rFonts w:eastAsia="Times New Roman"/>
          <w:sz w:val="24"/>
        </w:rPr>
        <w:t>0</w:t>
      </w:r>
    </w:p>
    <w:p w14:paraId="7DB9AE8F" w14:textId="39EBCDEF" w:rsidR="004863AC" w:rsidRDefault="004863AC" w:rsidP="004863AC">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w:t>
      </w:r>
      <w:r w:rsidR="00A653A0">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2A24E602" w:rsidR="00A653C1" w:rsidRDefault="003216E9" w:rsidP="004B52B3">
      <w:pPr>
        <w:spacing w:line="240" w:lineRule="auto"/>
        <w:rPr>
          <w:b/>
        </w:rPr>
      </w:pPr>
      <w:r w:rsidRPr="009777E6">
        <w:t xml:space="preserve">The University of Missouri requests </w:t>
      </w:r>
      <w:r w:rsidR="004B52B3">
        <w:t>Bid</w:t>
      </w:r>
      <w:r w:rsidR="00E96C9E">
        <w:t>s</w:t>
      </w:r>
      <w:r w:rsidRPr="009777E6">
        <w:t xml:space="preserve"> for</w:t>
      </w:r>
      <w:r w:rsidR="00952BAB">
        <w:t xml:space="preserve"> the </w:t>
      </w:r>
      <w:r w:rsidRPr="009777E6">
        <w:t>Furnishing and Delivery of</w:t>
      </w:r>
      <w:r w:rsidR="00141FD6" w:rsidRPr="00141FD6">
        <w:rPr>
          <w:b/>
        </w:rPr>
        <w:t xml:space="preserve"> </w:t>
      </w:r>
      <w:r w:rsidR="00141FD6">
        <w:rPr>
          <w:b/>
        </w:rPr>
        <w:t xml:space="preserve"> </w:t>
      </w:r>
      <w:r w:rsidR="00647168">
        <w:rPr>
          <w:b/>
        </w:rPr>
        <w:t>TH</w:t>
      </w:r>
      <w:r w:rsidR="00BD659D">
        <w:rPr>
          <w:b/>
        </w:rPr>
        <w:t>IRD PARTY FINANCIAL LOGISTICS for</w:t>
      </w:r>
      <w:r w:rsidR="00647168">
        <w:rPr>
          <w:b/>
        </w:rPr>
        <w:t xml:space="preserve"> NOVARTIS CAR-T </w:t>
      </w:r>
      <w:r w:rsidR="00E87370">
        <w:rPr>
          <w:b/>
        </w:rPr>
        <w:t>THERAPIES</w:t>
      </w:r>
      <w:r w:rsidR="00CB715A">
        <w:rPr>
          <w:b/>
        </w:rPr>
        <w:t>,</w:t>
      </w:r>
      <w:r w:rsidRPr="009777E6">
        <w:rPr>
          <w:b/>
        </w:rPr>
        <w:t xml:space="preserve"> </w:t>
      </w:r>
      <w:r w:rsidR="004B52B3">
        <w:rPr>
          <w:b/>
        </w:rPr>
        <w:t>RFB</w:t>
      </w:r>
      <w:r w:rsidRPr="009777E6">
        <w:rPr>
          <w:b/>
        </w:rPr>
        <w:t xml:space="preserve"> #</w:t>
      </w:r>
      <w:r w:rsidR="00647168">
        <w:rPr>
          <w:b/>
        </w:rPr>
        <w:t>31145</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BD659D">
        <w:rPr>
          <w:b/>
        </w:rPr>
        <w:t>Friday, June 16</w:t>
      </w:r>
      <w:r w:rsidR="004B52B3" w:rsidRPr="00E70744">
        <w:rPr>
          <w:b/>
        </w:rPr>
        <w:t>th</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70016E44" w14:textId="557BA6BB" w:rsidR="005D36A5" w:rsidRPr="00CB715A" w:rsidRDefault="00141FD6" w:rsidP="005D36A5">
      <w:pPr>
        <w:pStyle w:val="BodyTextIndent3"/>
        <w:spacing w:after="0" w:line="240" w:lineRule="auto"/>
        <w:ind w:left="720" w:firstLine="720"/>
        <w:rPr>
          <w:rFonts w:cstheme="minorHAnsi"/>
          <w:i/>
          <w:sz w:val="22"/>
          <w:szCs w:val="22"/>
        </w:rPr>
      </w:pPr>
      <w:r>
        <w:rPr>
          <w:rFonts w:cstheme="minorHAnsi"/>
          <w:i/>
          <w:sz w:val="22"/>
          <w:szCs w:val="22"/>
        </w:rPr>
        <w:t>Marcy Maddox</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3884D589" w:rsidR="005D36A5" w:rsidRPr="00CB715A" w:rsidRDefault="005D36A5" w:rsidP="005D36A5">
      <w:pPr>
        <w:spacing w:after="0" w:line="240" w:lineRule="auto"/>
        <w:ind w:left="720" w:firstLine="720"/>
        <w:rPr>
          <w:rFonts w:cstheme="minorHAnsi"/>
          <w:i/>
        </w:rPr>
      </w:pPr>
      <w:r w:rsidRPr="00CB715A">
        <w:rPr>
          <w:rFonts w:cstheme="minorHAnsi"/>
          <w:i/>
        </w:rPr>
        <w:t>2</w:t>
      </w:r>
      <w:r w:rsidR="00E96C9E">
        <w:rPr>
          <w:rFonts w:cstheme="minorHAnsi"/>
          <w:i/>
        </w:rPr>
        <w:t>4</w:t>
      </w:r>
      <w:r w:rsidRPr="00CB715A">
        <w:rPr>
          <w:rFonts w:cstheme="minorHAnsi"/>
          <w:i/>
        </w:rPr>
        <w:t>0</w:t>
      </w:r>
      <w:r w:rsidR="00E96C9E">
        <w:rPr>
          <w:rFonts w:cstheme="minorHAnsi"/>
          <w:i/>
        </w:rPr>
        <w:t>1</w:t>
      </w:r>
      <w:r w:rsidRPr="00CB715A">
        <w:rPr>
          <w:rFonts w:cstheme="minorHAnsi"/>
          <w:i/>
        </w:rPr>
        <w:t xml:space="preserve"> LeMone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338151CD"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BD659D">
        <w:rPr>
          <w:b/>
        </w:rPr>
        <w:t>Friday, June 9</w:t>
      </w:r>
      <w:r w:rsidR="004B52B3">
        <w:rPr>
          <w:b/>
        </w:rPr>
        <w:t>, 2023</w:t>
      </w:r>
      <w:r w:rsidR="00F24EBE">
        <w:rPr>
          <w:b/>
        </w:rPr>
        <w:t>.</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2BD90408" w:rsidR="003216E9" w:rsidRPr="00CB715A" w:rsidRDefault="00141FD6" w:rsidP="009777E6">
      <w:pPr>
        <w:pStyle w:val="NoSpacing"/>
        <w:jc w:val="right"/>
      </w:pPr>
      <w:r>
        <w:t>Marcy Maddox</w:t>
      </w:r>
    </w:p>
    <w:p w14:paraId="5B63E9F0" w14:textId="707B10CD" w:rsidR="003216E9" w:rsidRPr="00CB715A" w:rsidRDefault="00141FD6" w:rsidP="009777E6">
      <w:pPr>
        <w:pStyle w:val="NoSpacing"/>
        <w:jc w:val="right"/>
      </w:pPr>
      <w:r>
        <w:t>Director, Sourcing and Contracting</w:t>
      </w:r>
    </w:p>
    <w:p w14:paraId="23127D12" w14:textId="610A874D" w:rsidR="003216E9" w:rsidRPr="00CB715A" w:rsidRDefault="006B2EC9" w:rsidP="009777E6">
      <w:pPr>
        <w:pStyle w:val="NoSpacing"/>
        <w:jc w:val="right"/>
      </w:pPr>
      <w:r w:rsidRPr="00CB715A">
        <w:t>MU Health Care Supply Chain</w:t>
      </w:r>
    </w:p>
    <w:p w14:paraId="1754F010" w14:textId="4D857A09" w:rsidR="003216E9" w:rsidRPr="00CB715A" w:rsidRDefault="00F84E69" w:rsidP="009777E6">
      <w:pPr>
        <w:pStyle w:val="NoSpacing"/>
        <w:jc w:val="right"/>
      </w:pPr>
      <w:r w:rsidRPr="00CB715A">
        <w:t>2</w:t>
      </w:r>
      <w:r w:rsidR="00CD7FA6" w:rsidRPr="00CB715A">
        <w:t>910</w:t>
      </w:r>
      <w:r w:rsidRPr="00CB715A">
        <w:t xml:space="preserve"> LeMone Industrial Blvd</w:t>
      </w:r>
    </w:p>
    <w:p w14:paraId="308A4518" w14:textId="77777777" w:rsidR="003216E9" w:rsidRPr="009777E6" w:rsidRDefault="003216E9" w:rsidP="009777E6">
      <w:pPr>
        <w:pStyle w:val="NoSpacing"/>
        <w:jc w:val="right"/>
      </w:pPr>
      <w:r w:rsidRPr="00CB715A">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lastRenderedPageBreak/>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As long as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t>Equal Opportunity and Non-Discrimination:</w:t>
      </w:r>
      <w:r w:rsidRPr="009C06B7">
        <w:rPr>
          <w:rFonts w:cstheme="minorHAnsi"/>
          <w:sz w:val="24"/>
          <w:szCs w:val="24"/>
        </w:rPr>
        <w:t xml:space="preserve">  In connection with the furnishing of equipment, supplies, and/or services under the contract, the contractor and all </w:t>
      </w:r>
      <w:r w:rsidRPr="009C06B7">
        <w:rPr>
          <w:rFonts w:cstheme="minorHAnsi"/>
          <w:sz w:val="24"/>
          <w:szCs w:val="24"/>
        </w:rPr>
        <w:lastRenderedPageBreak/>
        <w:t xml:space="preserve">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(Service Disabled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Tier 2 Diverse Supplier Spending and Reporting:  The University strongly encourages Supplier Diversity participation in all of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to, or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lastRenderedPageBreak/>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w:t>
      </w:r>
      <w:r w:rsidRPr="009C06B7">
        <w:rPr>
          <w:rFonts w:cstheme="minorHAnsi"/>
          <w:sz w:val="24"/>
          <w:szCs w:val="24"/>
        </w:rPr>
        <w:lastRenderedPageBreak/>
        <w:t xml:space="preserve">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any and all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Any and all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w:t>
      </w:r>
      <w:r w:rsidRPr="009C06B7">
        <w:rPr>
          <w:rFonts w:eastAsia="Times New Roman" w:cstheme="minorHAnsi"/>
          <w:sz w:val="24"/>
          <w:szCs w:val="24"/>
        </w:rPr>
        <w:lastRenderedPageBreak/>
        <w:t xml:space="preserve">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1F71CBCF" w:rsidR="000248BA" w:rsidRPr="004B52B3" w:rsidRDefault="000248BA" w:rsidP="004B52B3">
      <w:pPr>
        <w:spacing w:line="240" w:lineRule="auto"/>
        <w:ind w:left="720"/>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141FD6">
        <w:rPr>
          <w:rFonts w:eastAsia="Times New Roman" w:cstheme="minorHAnsi"/>
          <w:sz w:val="24"/>
          <w:szCs w:val="24"/>
        </w:rPr>
        <w:t xml:space="preserve">:  </w:t>
      </w:r>
      <w:r w:rsidR="004B52B3">
        <w:rPr>
          <w:rFonts w:eastAsia="Times New Roman" w:cstheme="minorHAnsi"/>
          <w:b/>
          <w:sz w:val="24"/>
          <w:szCs w:val="24"/>
        </w:rPr>
        <w:t>RFB</w:t>
      </w:r>
      <w:r w:rsidR="008D1386" w:rsidRPr="00141FD6">
        <w:rPr>
          <w:rFonts w:eastAsia="Times New Roman" w:cstheme="minorHAnsi"/>
          <w:b/>
          <w:sz w:val="24"/>
          <w:szCs w:val="24"/>
        </w:rPr>
        <w:t xml:space="preserve"> #</w:t>
      </w:r>
      <w:r w:rsidR="00647168">
        <w:rPr>
          <w:rFonts w:eastAsia="Times New Roman" w:cstheme="minorHAnsi"/>
          <w:b/>
          <w:sz w:val="24"/>
          <w:szCs w:val="24"/>
        </w:rPr>
        <w:t>31145</w:t>
      </w:r>
      <w:r w:rsidR="004B52B3">
        <w:rPr>
          <w:rFonts w:eastAsia="Times New Roman" w:cstheme="minorHAnsi"/>
          <w:b/>
          <w:sz w:val="24"/>
          <w:szCs w:val="24"/>
        </w:rPr>
        <w:t xml:space="preserve"> </w:t>
      </w:r>
      <w:r w:rsidR="00647168">
        <w:rPr>
          <w:b/>
        </w:rPr>
        <w:t>TH</w:t>
      </w:r>
      <w:r w:rsidR="00BD659D">
        <w:rPr>
          <w:b/>
        </w:rPr>
        <w:t>IRD PARTY FINANCIAL LOGISTICS for</w:t>
      </w:r>
      <w:r w:rsidR="00647168">
        <w:rPr>
          <w:b/>
        </w:rPr>
        <w:t xml:space="preserve"> NOVARTIS CAR-T </w:t>
      </w:r>
      <w:r w:rsidR="00E87370">
        <w:rPr>
          <w:b/>
        </w:rPr>
        <w:t>THERAPIES</w:t>
      </w:r>
      <w:r w:rsidR="004B52B3">
        <w:rPr>
          <w:b/>
        </w:rPr>
        <w:t xml:space="preserve">.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 xml:space="preserve">must be submitted via electronic mail to </w:t>
      </w:r>
      <w:r w:rsidR="00141FD6" w:rsidRPr="004B52B3">
        <w:rPr>
          <w:rFonts w:eastAsia="Times New Roman" w:cstheme="minorHAnsi"/>
          <w:bCs/>
          <w:sz w:val="24"/>
          <w:szCs w:val="24"/>
        </w:rPr>
        <w:t>Marcy Maddox</w:t>
      </w:r>
      <w:r w:rsidR="00E96C9E" w:rsidRPr="004B52B3">
        <w:rPr>
          <w:rFonts w:eastAsia="Times New Roman" w:cstheme="minorHAnsi"/>
          <w:bCs/>
          <w:sz w:val="24"/>
          <w:szCs w:val="24"/>
        </w:rPr>
        <w:t xml:space="preserve"> at </w:t>
      </w:r>
      <w:hyperlink r:id="rId9" w:history="1">
        <w:r w:rsidR="00141FD6" w:rsidRPr="004B52B3">
          <w:rPr>
            <w:rStyle w:val="Hyperlink"/>
            <w:rFonts w:eastAsia="Times New Roman" w:cstheme="minorHAnsi"/>
            <w:bCs/>
            <w:sz w:val="24"/>
            <w:szCs w:val="24"/>
          </w:rPr>
          <w:t>maddoxml@health.missouri.edu</w:t>
        </w:r>
      </w:hyperlink>
      <w:r w:rsidR="00E96C9E" w:rsidRPr="004B52B3">
        <w:rPr>
          <w:rFonts w:eastAsia="Times New Roman" w:cstheme="minorHAnsi"/>
          <w:bCs/>
          <w:sz w:val="24"/>
          <w:szCs w:val="24"/>
        </w:rPr>
        <w:t>.</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as a result of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w:t>
      </w:r>
      <w:r w:rsidRPr="009C06B7">
        <w:rPr>
          <w:rFonts w:eastAsia="Times New Roman" w:cstheme="minorHAnsi"/>
          <w:sz w:val="24"/>
          <w:szCs w:val="24"/>
        </w:rPr>
        <w:lastRenderedPageBreak/>
        <w:t xml:space="preserve">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F16749">
        <w:rPr>
          <w:rFonts w:eastAsia="Times New Roman" w:cstheme="minorHAnsi"/>
          <w:sz w:val="24"/>
          <w:szCs w:val="24"/>
        </w:rPr>
        <w:t>bid</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RSMo.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RSMo, the </w:t>
      </w:r>
      <w:r w:rsidR="00DE7ED7">
        <w:rPr>
          <w:rFonts w:eastAsia="Times New Roman" w:cstheme="minorHAnsi"/>
          <w:sz w:val="24"/>
          <w:szCs w:val="24"/>
        </w:rPr>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's response in order to</w:t>
      </w:r>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days after the receipt of formal notice of award of the contract,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w:t>
      </w:r>
      <w:r w:rsidRPr="009C06B7">
        <w:rPr>
          <w:rFonts w:eastAsia="Times New Roman" w:cstheme="minorHAnsi"/>
          <w:sz w:val="24"/>
          <w:szCs w:val="24"/>
        </w:rPr>
        <w:lastRenderedPageBreak/>
        <w:t>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lastRenderedPageBreak/>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all of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141FD6">
      <w:pPr>
        <w:pStyle w:val="ListParagraph"/>
        <w:widowControl w:val="0"/>
        <w:spacing w:after="0" w:line="240" w:lineRule="auto"/>
        <w:ind w:left="1440"/>
        <w:outlineLvl w:val="0"/>
        <w:rPr>
          <w:rFonts w:cstheme="minorHAnsi"/>
          <w:sz w:val="24"/>
          <w:szCs w:val="24"/>
        </w:rPr>
      </w:pPr>
      <w:r w:rsidRPr="00AA6F58">
        <w:rPr>
          <w:rFonts w:cstheme="minorHAnsi"/>
          <w:sz w:val="24"/>
          <w:szCs w:val="24"/>
        </w:rPr>
        <w:tab/>
      </w:r>
      <w:r w:rsidRPr="00AA6F58">
        <w:rPr>
          <w:rFonts w:cstheme="minorHAnsi"/>
          <w:sz w:val="24"/>
          <w:szCs w:val="24"/>
        </w:rPr>
        <w:tab/>
      </w:r>
    </w:p>
    <w:p w14:paraId="5896E12A" w14:textId="2161546F" w:rsidR="004B52B3" w:rsidRPr="009777E6" w:rsidRDefault="000248BA" w:rsidP="004B52B3">
      <w:pPr>
        <w:spacing w:line="240" w:lineRule="auto"/>
        <w:ind w:left="810"/>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647168">
        <w:rPr>
          <w:b/>
        </w:rPr>
        <w:t>TH</w:t>
      </w:r>
      <w:r w:rsidR="004F0A94">
        <w:rPr>
          <w:b/>
        </w:rPr>
        <w:t>IRD PARTY FINANCIAL LOGISTICS for</w:t>
      </w:r>
      <w:r w:rsidR="00647168">
        <w:rPr>
          <w:b/>
        </w:rPr>
        <w:t xml:space="preserve"> </w:t>
      </w:r>
      <w:r w:rsidR="00E87370">
        <w:rPr>
          <w:b/>
        </w:rPr>
        <w:t xml:space="preserve">NOVARTIS </w:t>
      </w:r>
      <w:r w:rsidR="00647168">
        <w:rPr>
          <w:b/>
        </w:rPr>
        <w:t xml:space="preserve">CAR-T </w:t>
      </w:r>
      <w:r w:rsidR="00E87370">
        <w:rPr>
          <w:b/>
        </w:rPr>
        <w:t>THERAPIES.</w:t>
      </w:r>
    </w:p>
    <w:p w14:paraId="01771FCF" w14:textId="2F48E997" w:rsidR="00141FD6" w:rsidRPr="009777E6" w:rsidRDefault="00141FD6" w:rsidP="00141FD6">
      <w:pPr>
        <w:spacing w:line="240" w:lineRule="auto"/>
        <w:ind w:left="720"/>
        <w:rPr>
          <w:b/>
        </w:rPr>
      </w:pP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19CBE7B7" w14:textId="7EDDBD46" w:rsidR="00CE1ED9" w:rsidRPr="004B52B3" w:rsidRDefault="00481611" w:rsidP="004B52B3">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AE2127">
        <w:rPr>
          <w:sz w:val="24"/>
          <w:szCs w:val="24"/>
        </w:rPr>
        <w:t>suppliers to p</w:t>
      </w:r>
      <w:r w:rsidR="00CE1ED9" w:rsidRPr="00AA6F58">
        <w:rPr>
          <w:sz w:val="24"/>
          <w:szCs w:val="24"/>
        </w:rPr>
        <w:t>rovid</w:t>
      </w:r>
      <w:r w:rsidR="00AE2127">
        <w:rPr>
          <w:sz w:val="24"/>
          <w:szCs w:val="24"/>
        </w:rPr>
        <w:t xml:space="preserve">e </w:t>
      </w:r>
      <w:r w:rsidR="00647168">
        <w:rPr>
          <w:b/>
        </w:rPr>
        <w:t>TH</w:t>
      </w:r>
      <w:r w:rsidR="004F0A94">
        <w:rPr>
          <w:b/>
        </w:rPr>
        <w:t>IRD PARTY FINANCIAL LOGISTICS for</w:t>
      </w:r>
      <w:r w:rsidR="00647168">
        <w:rPr>
          <w:b/>
        </w:rPr>
        <w:t xml:space="preserve"> NOVARTIS CAR-T </w:t>
      </w:r>
      <w:r w:rsidR="0066305C">
        <w:rPr>
          <w:b/>
        </w:rPr>
        <w:t>THERAPIES</w:t>
      </w:r>
      <w:r w:rsidR="004B52B3">
        <w:rPr>
          <w:b/>
        </w:rPr>
        <w:t xml:space="preserve">. </w:t>
      </w:r>
      <w:r w:rsidR="00AE2127">
        <w:rPr>
          <w:sz w:val="24"/>
          <w:szCs w:val="24"/>
        </w:rPr>
        <w:t xml:space="preserve">The awarded </w:t>
      </w:r>
      <w:r w:rsidR="00F24EBE">
        <w:rPr>
          <w:sz w:val="24"/>
          <w:szCs w:val="24"/>
        </w:rPr>
        <w:t>supplier</w:t>
      </w:r>
      <w:r w:rsidR="00AE2127">
        <w:rPr>
          <w:sz w:val="24"/>
          <w:szCs w:val="24"/>
        </w:rPr>
        <w:t xml:space="preserve"> will be the </w:t>
      </w:r>
      <w:r w:rsidR="0009209F">
        <w:rPr>
          <w:sz w:val="24"/>
          <w:szCs w:val="24"/>
        </w:rPr>
        <w:t xml:space="preserve">principle </w:t>
      </w:r>
      <w:r w:rsidR="00E86452">
        <w:rPr>
          <w:sz w:val="24"/>
          <w:szCs w:val="24"/>
        </w:rPr>
        <w:t>financial liaison</w:t>
      </w:r>
      <w:r w:rsidR="00AE2127">
        <w:rPr>
          <w:sz w:val="24"/>
          <w:szCs w:val="24"/>
        </w:rPr>
        <w:t xml:space="preserve"> for these medications during the t</w:t>
      </w:r>
      <w:r w:rsidR="00BD3514">
        <w:rPr>
          <w:sz w:val="24"/>
          <w:szCs w:val="24"/>
        </w:rPr>
        <w:t xml:space="preserve">erm of the contract. </w:t>
      </w:r>
    </w:p>
    <w:p w14:paraId="5CF41C3B" w14:textId="1BEBE093" w:rsidR="00DB6A92" w:rsidRDefault="00DB6A92" w:rsidP="004B52B3">
      <w:pPr>
        <w:spacing w:after="0" w:line="240" w:lineRule="auto"/>
        <w:ind w:left="1620"/>
        <w:rPr>
          <w:sz w:val="24"/>
          <w:szCs w:val="24"/>
        </w:rPr>
      </w:pPr>
    </w:p>
    <w:p w14:paraId="43131DE0" w14:textId="5C82FC9E" w:rsidR="00DB6A92" w:rsidRDefault="00DB6A92" w:rsidP="004B52B3">
      <w:pPr>
        <w:spacing w:after="0" w:line="240" w:lineRule="auto"/>
        <w:ind w:left="810"/>
        <w:rPr>
          <w:sz w:val="24"/>
          <w:szCs w:val="24"/>
        </w:rPr>
      </w:pPr>
      <w:r>
        <w:rPr>
          <w:sz w:val="24"/>
          <w:szCs w:val="24"/>
        </w:rPr>
        <w:t xml:space="preserve">The </w:t>
      </w:r>
      <w:r w:rsidR="00E86452">
        <w:rPr>
          <w:sz w:val="24"/>
          <w:szCs w:val="24"/>
        </w:rPr>
        <w:t xml:space="preserve">awarded </w:t>
      </w:r>
      <w:r w:rsidR="00F24EBE">
        <w:rPr>
          <w:sz w:val="24"/>
          <w:szCs w:val="24"/>
        </w:rPr>
        <w:t>supplier</w:t>
      </w:r>
      <w:r>
        <w:rPr>
          <w:sz w:val="24"/>
          <w:szCs w:val="24"/>
        </w:rPr>
        <w:t xml:space="preserve"> must ensure availability </w:t>
      </w:r>
      <w:r w:rsidR="00E86452">
        <w:rPr>
          <w:sz w:val="24"/>
          <w:szCs w:val="24"/>
        </w:rPr>
        <w:t xml:space="preserve">to provide third party financial logistics </w:t>
      </w:r>
      <w:r w:rsidR="00F24EBE">
        <w:rPr>
          <w:sz w:val="24"/>
          <w:szCs w:val="24"/>
        </w:rPr>
        <w:t xml:space="preserve">for </w:t>
      </w:r>
      <w:r>
        <w:rPr>
          <w:sz w:val="24"/>
          <w:szCs w:val="24"/>
        </w:rPr>
        <w:t>the following pharmaceuticals:</w:t>
      </w:r>
    </w:p>
    <w:p w14:paraId="391D2DFE" w14:textId="2F7A2E82" w:rsidR="00141FD6" w:rsidRDefault="00141FD6" w:rsidP="004B52B3">
      <w:pPr>
        <w:spacing w:after="0" w:line="240" w:lineRule="auto"/>
        <w:ind w:left="810"/>
        <w:rPr>
          <w:sz w:val="24"/>
          <w:szCs w:val="24"/>
        </w:rPr>
      </w:pPr>
    </w:p>
    <w:p w14:paraId="009AFC6B" w14:textId="086D4065" w:rsidR="0009209F" w:rsidRDefault="009A0C91" w:rsidP="004B52B3">
      <w:pPr>
        <w:pStyle w:val="ListParagraph"/>
        <w:numPr>
          <w:ilvl w:val="0"/>
          <w:numId w:val="35"/>
        </w:numPr>
        <w:spacing w:after="0" w:line="240" w:lineRule="auto"/>
        <w:rPr>
          <w:sz w:val="24"/>
          <w:szCs w:val="24"/>
        </w:rPr>
      </w:pPr>
      <w:r>
        <w:rPr>
          <w:sz w:val="24"/>
          <w:szCs w:val="24"/>
        </w:rPr>
        <w:t>KYMRIAH</w:t>
      </w:r>
    </w:p>
    <w:p w14:paraId="4CD5D78B" w14:textId="76C12746" w:rsidR="0009209F" w:rsidRPr="00141FD6" w:rsidRDefault="0009209F" w:rsidP="004B52B3">
      <w:pPr>
        <w:pStyle w:val="ListParagraph"/>
        <w:numPr>
          <w:ilvl w:val="0"/>
          <w:numId w:val="35"/>
        </w:numPr>
        <w:spacing w:after="0" w:line="240" w:lineRule="auto"/>
        <w:rPr>
          <w:sz w:val="24"/>
          <w:szCs w:val="24"/>
        </w:rPr>
      </w:pPr>
      <w:r>
        <w:rPr>
          <w:sz w:val="24"/>
          <w:szCs w:val="24"/>
        </w:rPr>
        <w:t xml:space="preserve">Other future </w:t>
      </w:r>
      <w:r w:rsidR="00B25CFB">
        <w:rPr>
          <w:sz w:val="24"/>
          <w:szCs w:val="24"/>
        </w:rPr>
        <w:t xml:space="preserve">Novartis </w:t>
      </w:r>
      <w:r w:rsidR="0066305C">
        <w:rPr>
          <w:sz w:val="24"/>
          <w:szCs w:val="24"/>
        </w:rPr>
        <w:t xml:space="preserve">CAR-T </w:t>
      </w:r>
      <w:r>
        <w:rPr>
          <w:sz w:val="24"/>
          <w:szCs w:val="24"/>
        </w:rPr>
        <w:t>therapies</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10D5134" w14:textId="28C72B91" w:rsidR="008A5007" w:rsidRPr="004C2C0F" w:rsidRDefault="0084337D" w:rsidP="008A5007">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06F10D76" w14:textId="77777777" w:rsidR="008A5007" w:rsidRPr="004C2C0F" w:rsidRDefault="008A5007" w:rsidP="004E2BDD">
      <w:pPr>
        <w:tabs>
          <w:tab w:val="left" w:pos="720"/>
        </w:tabs>
        <w:spacing w:after="0" w:line="240" w:lineRule="auto"/>
        <w:ind w:left="720" w:hanging="274"/>
        <w:rPr>
          <w:sz w:val="24"/>
          <w:szCs w:val="24"/>
        </w:rPr>
      </w:pPr>
    </w:p>
    <w:p w14:paraId="6AD3853C" w14:textId="50F55761" w:rsidR="00481611" w:rsidRDefault="00481611" w:rsidP="00AE2127">
      <w:pPr>
        <w:spacing w:after="0" w:line="240" w:lineRule="auto"/>
        <w:ind w:left="806"/>
        <w:rPr>
          <w:sz w:val="24"/>
        </w:rPr>
      </w:pPr>
      <w:r w:rsidRPr="00481611">
        <w:rPr>
          <w:sz w:val="24"/>
        </w:rPr>
        <w:t xml:space="preserve">MU Health Care is comprised of five hospitals: Ellis Fischel Cancer Center, the Missouri Orthopaedic Institute, the Missouri Psychiatric Center, University Hospital, and Women’s and Children’s Hospital, as well as 58 outpatient clinics. The inpatient hospitals have a combined 595 beds. Affiliates of MU Health Care include Capital Region Medical Center, Columbia Family Medical Group, Columbia Surgical Associates, Health Network of Missouri, MPact Health and Rusk Rehabilitation Center. </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7C662B7C"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 xml:space="preserve">riod shall be from the date of award for </w:t>
      </w:r>
      <w:r w:rsidR="00141FD6">
        <w:rPr>
          <w:sz w:val="24"/>
          <w:szCs w:val="24"/>
        </w:rPr>
        <w:t>three</w:t>
      </w:r>
      <w:r>
        <w:rPr>
          <w:sz w:val="24"/>
          <w:szCs w:val="24"/>
        </w:rPr>
        <w:t xml:space="preserve"> (</w:t>
      </w:r>
      <w:r w:rsidR="00141FD6">
        <w:rPr>
          <w:sz w:val="24"/>
          <w:szCs w:val="24"/>
        </w:rPr>
        <w:t>3</w:t>
      </w:r>
      <w:r>
        <w:rPr>
          <w:sz w:val="24"/>
          <w:szCs w:val="24"/>
        </w:rPr>
        <w:t>) year</w:t>
      </w:r>
      <w:r w:rsidR="00DB6A92">
        <w:rPr>
          <w:sz w:val="24"/>
          <w:szCs w:val="24"/>
        </w:rPr>
        <w:t>s</w:t>
      </w:r>
      <w:r>
        <w:rPr>
          <w:sz w:val="24"/>
          <w:szCs w:val="24"/>
        </w:rPr>
        <w:t xml:space="preserve"> with the option to renew for </w:t>
      </w:r>
      <w:r w:rsidR="00141FD6">
        <w:rPr>
          <w:sz w:val="24"/>
          <w:szCs w:val="24"/>
        </w:rPr>
        <w:t>two</w:t>
      </w:r>
      <w:r>
        <w:rPr>
          <w:sz w:val="24"/>
          <w:szCs w:val="24"/>
        </w:rPr>
        <w:t xml:space="preserve"> (</w:t>
      </w:r>
      <w:r w:rsidR="00141FD6">
        <w:rPr>
          <w:sz w:val="24"/>
          <w:szCs w:val="24"/>
        </w:rPr>
        <w:t>2</w:t>
      </w:r>
      <w:r>
        <w:rPr>
          <w:sz w:val="24"/>
          <w:szCs w:val="24"/>
        </w:rPr>
        <w:t xml:space="preserve">) additional one-year periods.  </w:t>
      </w:r>
      <w:r>
        <w:rPr>
          <w:b/>
          <w:sz w:val="24"/>
          <w:szCs w:val="24"/>
        </w:rPr>
        <w:t xml:space="preserve">A signed agreement does not constitute a guarantee on the part of MU Health Care for a minimum order volume of requested pharmaceuticals.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lastRenderedPageBreak/>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through the use of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lastRenderedPageBreak/>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1"/>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via electronic mail with an Excel spreadsheet containing detailed pricing by item (including 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5CEB2DE7" w:rsidR="00713791" w:rsidRPr="00C13D25" w:rsidRDefault="001F05AC" w:rsidP="004B52B3">
      <w:pPr>
        <w:spacing w:line="240" w:lineRule="auto"/>
        <w:ind w:left="810"/>
        <w:jc w:val="both"/>
        <w:rPr>
          <w:b/>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Pr>
          <w:b/>
          <w:sz w:val="24"/>
          <w:szCs w:val="24"/>
        </w:rPr>
        <w:t>RFB</w:t>
      </w:r>
      <w:r w:rsidR="000212EB" w:rsidRPr="000212EB">
        <w:rPr>
          <w:b/>
          <w:sz w:val="24"/>
          <w:szCs w:val="24"/>
        </w:rPr>
        <w:t xml:space="preserve"> #</w:t>
      </w:r>
      <w:r w:rsidR="00647168">
        <w:rPr>
          <w:b/>
          <w:sz w:val="24"/>
          <w:szCs w:val="24"/>
        </w:rPr>
        <w:t>31145</w:t>
      </w:r>
      <w:r w:rsidR="000212EB" w:rsidRPr="000212EB">
        <w:rPr>
          <w:b/>
          <w:sz w:val="24"/>
          <w:szCs w:val="24"/>
        </w:rPr>
        <w:t xml:space="preserve"> </w:t>
      </w:r>
      <w:r w:rsidR="00647168">
        <w:rPr>
          <w:b/>
        </w:rPr>
        <w:t>TH</w:t>
      </w:r>
      <w:r w:rsidR="004F0A94">
        <w:rPr>
          <w:b/>
        </w:rPr>
        <w:t>IRD PARTY FINANCIAL LOGISTICS for</w:t>
      </w:r>
      <w:r w:rsidR="00647168">
        <w:rPr>
          <w:b/>
        </w:rPr>
        <w:t xml:space="preserve"> NOVARTIS KYMRIAH CAR-T </w:t>
      </w:r>
      <w:r w:rsidR="0066305C">
        <w:rPr>
          <w:b/>
        </w:rPr>
        <w:t>THERAPY</w:t>
      </w:r>
      <w:r w:rsidR="004B52B3">
        <w:rPr>
          <w:b/>
        </w:rPr>
        <w:t xml:space="preserve"> </w:t>
      </w:r>
      <w:r w:rsidR="00C13D25" w:rsidRPr="004B52B3">
        <w:rPr>
          <w:bCs/>
        </w:rPr>
        <w:t>and</w:t>
      </w:r>
      <w:r w:rsidR="00C13D25">
        <w:rPr>
          <w:b/>
        </w:rPr>
        <w:t xml:space="preserve"> </w:t>
      </w:r>
      <w:r w:rsidR="00632E97">
        <w:rPr>
          <w:bCs/>
          <w:sz w:val="24"/>
          <w:szCs w:val="24"/>
        </w:rPr>
        <w:t xml:space="preserve">sent to </w:t>
      </w:r>
      <w:r w:rsidR="00C13D25">
        <w:rPr>
          <w:bCs/>
          <w:sz w:val="24"/>
          <w:szCs w:val="24"/>
        </w:rPr>
        <w:t>Marcy Maddox</w:t>
      </w:r>
      <w:r w:rsidR="00632E97">
        <w:rPr>
          <w:bCs/>
          <w:sz w:val="24"/>
          <w:szCs w:val="24"/>
        </w:rPr>
        <w:t xml:space="preserve">, </w:t>
      </w:r>
      <w:hyperlink r:id="rId10" w:history="1">
        <w:r w:rsidR="00C13D25" w:rsidRPr="00730578">
          <w:rPr>
            <w:rStyle w:val="Hyperlink"/>
            <w:bCs/>
            <w:sz w:val="24"/>
            <w:szCs w:val="24"/>
          </w:rPr>
          <w:t>maddoxml@health.missouri.edu</w:t>
        </w:r>
      </w:hyperlink>
      <w:r w:rsidR="00632E97">
        <w:rPr>
          <w:bCs/>
          <w:sz w:val="24"/>
          <w:szCs w:val="24"/>
        </w:rPr>
        <w:t xml:space="preserve">. </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in order to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2B33FF84" w:rsidR="00BD3514" w:rsidRPr="00481DAE" w:rsidRDefault="0009209F" w:rsidP="00BD3514">
      <w:pPr>
        <w:pStyle w:val="ListParagraph"/>
        <w:keepNext/>
        <w:keepLines/>
        <w:numPr>
          <w:ilvl w:val="0"/>
          <w:numId w:val="32"/>
        </w:numPr>
        <w:spacing w:after="0" w:line="240" w:lineRule="auto"/>
        <w:rPr>
          <w:sz w:val="24"/>
        </w:rPr>
      </w:pPr>
      <w:r w:rsidRPr="00481DAE">
        <w:rPr>
          <w:sz w:val="24"/>
        </w:rPr>
        <w:t>Vendor</w:t>
      </w:r>
      <w:r w:rsidR="00BD3514" w:rsidRPr="00481DAE">
        <w:rPr>
          <w:sz w:val="24"/>
        </w:rPr>
        <w:t xml:space="preserve"> will</w:t>
      </w:r>
      <w:r w:rsidRPr="00481DAE">
        <w:rPr>
          <w:sz w:val="24"/>
        </w:rPr>
        <w:t xml:space="preserve"> manage the purchase order and </w:t>
      </w:r>
      <w:r w:rsidR="00B25CFB">
        <w:rPr>
          <w:sz w:val="24"/>
        </w:rPr>
        <w:t>invoicing for</w:t>
      </w:r>
      <w:r w:rsidR="004B52B3">
        <w:rPr>
          <w:sz w:val="24"/>
        </w:rPr>
        <w:t xml:space="preserve"> </w:t>
      </w:r>
      <w:r w:rsidR="004F0A94">
        <w:rPr>
          <w:sz w:val="24"/>
        </w:rPr>
        <w:t>Novartis</w:t>
      </w:r>
      <w:r w:rsidR="004B52B3">
        <w:rPr>
          <w:sz w:val="24"/>
        </w:rPr>
        <w:t xml:space="preserve"> CAR-T Therapies including</w:t>
      </w:r>
      <w:r w:rsidR="004F0A94">
        <w:rPr>
          <w:sz w:val="24"/>
        </w:rPr>
        <w:t xml:space="preserve"> Kymriah </w:t>
      </w:r>
      <w:r w:rsidR="004B52B3">
        <w:rPr>
          <w:sz w:val="24"/>
        </w:rPr>
        <w:t>and future therapies</w:t>
      </w:r>
      <w:r w:rsidR="00BD3514" w:rsidRPr="00481DAE">
        <w:rPr>
          <w:sz w:val="24"/>
        </w:rPr>
        <w:t>.  Yes_____</w:t>
      </w:r>
      <w:r w:rsidR="00BD3514" w:rsidRPr="00481DAE">
        <w:rPr>
          <w:sz w:val="24"/>
        </w:rPr>
        <w:tab/>
        <w:t>No_____</w:t>
      </w:r>
    </w:p>
    <w:p w14:paraId="63A298DE" w14:textId="2DA3A931" w:rsidR="00BD3514" w:rsidRPr="00481DAE" w:rsidRDefault="00BD3514" w:rsidP="00BD3514">
      <w:pPr>
        <w:pStyle w:val="ListParagraph"/>
        <w:keepNext/>
        <w:keepLines/>
        <w:numPr>
          <w:ilvl w:val="0"/>
          <w:numId w:val="32"/>
        </w:numPr>
        <w:spacing w:after="0" w:line="240" w:lineRule="auto"/>
        <w:rPr>
          <w:sz w:val="24"/>
        </w:rPr>
      </w:pPr>
      <w:r w:rsidRPr="00481DAE">
        <w:rPr>
          <w:sz w:val="24"/>
        </w:rPr>
        <w:t xml:space="preserve">Medications must be provided as 340B and wholesaler acquisition cost (WAC) via separate invoices.  Yes_____ </w:t>
      </w:r>
      <w:r w:rsidR="004B52B3">
        <w:rPr>
          <w:sz w:val="24"/>
        </w:rPr>
        <w:t xml:space="preserve"> </w:t>
      </w:r>
      <w:r w:rsidRPr="00481DAE">
        <w:rPr>
          <w:sz w:val="24"/>
        </w:rPr>
        <w:t xml:space="preserve"> No_____</w:t>
      </w:r>
    </w:p>
    <w:p w14:paraId="5F6E1839" w14:textId="33163016" w:rsidR="00481DAE" w:rsidRPr="00481DAE" w:rsidRDefault="00481DAE" w:rsidP="00BD3514">
      <w:pPr>
        <w:pStyle w:val="ListParagraph"/>
        <w:keepNext/>
        <w:keepLines/>
        <w:numPr>
          <w:ilvl w:val="0"/>
          <w:numId w:val="32"/>
        </w:numPr>
        <w:spacing w:after="0" w:line="240" w:lineRule="auto"/>
        <w:rPr>
          <w:sz w:val="24"/>
        </w:rPr>
      </w:pPr>
      <w:r w:rsidRPr="00481DAE">
        <w:rPr>
          <w:sz w:val="24"/>
        </w:rPr>
        <w:t xml:space="preserve">Provide 340B and WAC pricing for current available therapies. </w:t>
      </w:r>
      <w:r w:rsidR="004B52B3">
        <w:rPr>
          <w:sz w:val="24"/>
        </w:rPr>
        <w:t>(Excel, PDF or Word)</w:t>
      </w:r>
    </w:p>
    <w:p w14:paraId="6170F79A" w14:textId="77777777" w:rsidR="00BD3514" w:rsidRDefault="00BD3514" w:rsidP="00366FBB">
      <w:pPr>
        <w:keepNext/>
        <w:keepLines/>
        <w:spacing w:after="0" w:line="240" w:lineRule="auto"/>
        <w:ind w:left="806"/>
        <w:rPr>
          <w:sz w:val="24"/>
        </w:rPr>
      </w:pPr>
    </w:p>
    <w:p w14:paraId="3170CA5C" w14:textId="68D4A7A7" w:rsidR="00BD3514" w:rsidRDefault="00BD3514" w:rsidP="00366FBB">
      <w:pPr>
        <w:keepNext/>
        <w:keepLines/>
        <w:spacing w:after="0" w:line="240" w:lineRule="auto"/>
        <w:ind w:left="806"/>
        <w:rPr>
          <w:sz w:val="24"/>
        </w:rPr>
      </w:pPr>
    </w:p>
    <w:p w14:paraId="4130AD4D" w14:textId="77777777" w:rsidR="00BD3514" w:rsidRPr="007F1410" w:rsidRDefault="00BD3514" w:rsidP="00366FBB">
      <w:pPr>
        <w:keepNext/>
        <w:keepLines/>
        <w:spacing w:after="0" w:line="240" w:lineRule="auto"/>
        <w:ind w:left="806"/>
        <w:rPr>
          <w:sz w:val="24"/>
        </w:rPr>
      </w:pPr>
    </w:p>
    <w:p w14:paraId="5540D59C" w14:textId="77777777" w:rsidR="00366FBB" w:rsidRPr="00366FBB" w:rsidRDefault="00366FBB" w:rsidP="00366FBB">
      <w:pPr>
        <w:keepNext/>
        <w:keepLines/>
        <w:spacing w:after="0" w:line="240" w:lineRule="auto"/>
        <w:rPr>
          <w:rFonts w:cs="Arial"/>
          <w:b/>
          <w:sz w:val="24"/>
        </w:rPr>
      </w:pPr>
    </w:p>
    <w:p w14:paraId="3FBEF8D3" w14:textId="439B48A5"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49B3ED9" w14:textId="32C70378"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DBAA89C" w14:textId="2333D384"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lastRenderedPageBreak/>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20B6C7C3" w14:textId="699EED8E" w:rsidR="004B52B3" w:rsidRPr="00E87370" w:rsidRDefault="00647168" w:rsidP="004B52B3">
      <w:pPr>
        <w:spacing w:after="0" w:line="240" w:lineRule="auto"/>
        <w:jc w:val="center"/>
        <w:rPr>
          <w:b/>
          <w:color w:val="000000"/>
          <w:sz w:val="24"/>
          <w:szCs w:val="24"/>
        </w:rPr>
      </w:pPr>
      <w:r w:rsidRPr="00E87370">
        <w:rPr>
          <w:b/>
          <w:color w:val="000000"/>
          <w:sz w:val="24"/>
          <w:szCs w:val="24"/>
        </w:rPr>
        <w:t xml:space="preserve">THIRD PARTY FINANCIAL </w:t>
      </w:r>
      <w:r w:rsidR="004F0A94" w:rsidRPr="00E87370">
        <w:rPr>
          <w:b/>
          <w:color w:val="000000"/>
          <w:sz w:val="24"/>
          <w:szCs w:val="24"/>
        </w:rPr>
        <w:t>LOGISTICS for</w:t>
      </w:r>
      <w:r w:rsidRPr="00E87370">
        <w:rPr>
          <w:b/>
          <w:color w:val="000000"/>
          <w:sz w:val="24"/>
          <w:szCs w:val="24"/>
        </w:rPr>
        <w:t xml:space="preserve"> NOVARTIS CAR-T </w:t>
      </w:r>
      <w:r w:rsidR="00E87370">
        <w:rPr>
          <w:b/>
          <w:color w:val="000000"/>
          <w:sz w:val="24"/>
          <w:szCs w:val="24"/>
        </w:rPr>
        <w:t>THERAPIES</w:t>
      </w:r>
    </w:p>
    <w:p w14:paraId="598B8A40" w14:textId="77777777"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446D856C" w:rsidR="00DD24E6" w:rsidRPr="004C2C0F" w:rsidRDefault="004B52B3" w:rsidP="004B52B3">
      <w:pPr>
        <w:tabs>
          <w:tab w:val="center" w:pos="4680"/>
        </w:tabs>
        <w:spacing w:after="0" w:line="240" w:lineRule="auto"/>
        <w:jc w:val="center"/>
        <w:outlineLvl w:val="0"/>
        <w:rPr>
          <w:b/>
          <w:sz w:val="24"/>
          <w:szCs w:val="24"/>
        </w:rPr>
      </w:pPr>
      <w:r>
        <w:rPr>
          <w:b/>
          <w:sz w:val="24"/>
          <w:szCs w:val="24"/>
        </w:rPr>
        <w:t>RFB</w:t>
      </w:r>
      <w:r w:rsidR="00DD24E6" w:rsidRPr="004C2C0F">
        <w:rPr>
          <w:b/>
          <w:sz w:val="24"/>
          <w:szCs w:val="24"/>
        </w:rPr>
        <w:t xml:space="preserve"> #</w:t>
      </w:r>
      <w:r w:rsidR="001F5841">
        <w:rPr>
          <w:b/>
          <w:sz w:val="24"/>
          <w:szCs w:val="24"/>
        </w:rPr>
        <w:t xml:space="preserve"> </w:t>
      </w:r>
      <w:r w:rsidR="00647168">
        <w:rPr>
          <w:b/>
          <w:sz w:val="24"/>
          <w:szCs w:val="24"/>
        </w:rPr>
        <w:t>31145</w:t>
      </w:r>
    </w:p>
    <w:p w14:paraId="486007D5" w14:textId="3EF5574A"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66305C">
        <w:rPr>
          <w:b/>
          <w:sz w:val="24"/>
          <w:szCs w:val="24"/>
        </w:rPr>
        <w:t>FRIDAY, JUNE</w:t>
      </w:r>
      <w:r w:rsidR="004F0A94">
        <w:rPr>
          <w:b/>
          <w:sz w:val="24"/>
          <w:szCs w:val="24"/>
        </w:rPr>
        <w:t xml:space="preserve"> 16</w:t>
      </w:r>
      <w:r w:rsidR="00CB13A3">
        <w:rPr>
          <w:b/>
          <w:sz w:val="24"/>
          <w:szCs w:val="24"/>
        </w:rPr>
        <w:t>, 2023</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7934B5D8" w:rsidR="00377FED" w:rsidRPr="004B52B3" w:rsidRDefault="002E1279" w:rsidP="004B52B3">
      <w:pPr>
        <w:spacing w:line="240" w:lineRule="auto"/>
        <w:jc w:val="center"/>
        <w:rPr>
          <w:b/>
        </w:rPr>
      </w:pPr>
      <w:r>
        <w:rPr>
          <w:b/>
          <w:bCs/>
          <w:iCs/>
          <w:sz w:val="24"/>
          <w:szCs w:val="24"/>
        </w:rPr>
        <w:t xml:space="preserve">Provide any vendor required form(s) and/or agreement(s) for MU Health Care review/execution for access to </w:t>
      </w:r>
      <w:r w:rsidR="00647168">
        <w:rPr>
          <w:b/>
        </w:rPr>
        <w:t xml:space="preserve">THIRD PARTY FINANCIAL LOGISTICS </w:t>
      </w:r>
      <w:r w:rsidR="0066305C">
        <w:rPr>
          <w:b/>
        </w:rPr>
        <w:t>for</w:t>
      </w:r>
      <w:r w:rsidR="00647168">
        <w:rPr>
          <w:b/>
        </w:rPr>
        <w:t xml:space="preserve"> NOVARTIS CAR-T </w:t>
      </w:r>
      <w:r w:rsidR="00E87370">
        <w:rPr>
          <w:b/>
        </w:rPr>
        <w:t>THERAPIES</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2"/>
          <w:footerReference w:type="default" r:id="rId13"/>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NO____  YES____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NO____  YES____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NO____  YES____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NO____  YES____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NO____  YES____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have compensation arrangements with a physician (or an immediate family member of a physician) that vary with or take into account the volume or value of referrals or other business generated by the physician for a MU Health care facility? NO____  YES____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339A0691"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2910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02F4" w14:textId="77777777" w:rsidR="001249CA" w:rsidRDefault="001249CA">
      <w:pPr>
        <w:spacing w:after="0" w:line="240" w:lineRule="auto"/>
      </w:pPr>
      <w:r>
        <w:separator/>
      </w:r>
    </w:p>
  </w:endnote>
  <w:endnote w:type="continuationSeparator" w:id="0">
    <w:p w14:paraId="2B44F627" w14:textId="77777777" w:rsidR="001249CA" w:rsidRDefault="0012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802" w14:textId="2253E4AB" w:rsidR="001F05AC" w:rsidRDefault="004B5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RFB</w:t>
    </w:r>
    <w:r w:rsidR="001F05AC">
      <w:rPr>
        <w:rFonts w:asciiTheme="majorHAnsi" w:eastAsiaTheme="majorEastAsia" w:hAnsiTheme="majorHAnsi" w:cstheme="majorBidi"/>
      </w:rPr>
      <w:t xml:space="preserve"># </w:t>
    </w:r>
    <w:r w:rsidR="00647168">
      <w:rPr>
        <w:rFonts w:asciiTheme="majorHAnsi" w:eastAsiaTheme="majorEastAsia" w:hAnsiTheme="majorHAnsi" w:cstheme="majorBidi"/>
      </w:rPr>
      <w:t>31145</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B25CFB" w:rsidRPr="00B25CFB">
      <w:rPr>
        <w:rFonts w:asciiTheme="majorHAnsi" w:eastAsiaTheme="majorEastAsia" w:hAnsiTheme="majorHAnsi" w:cstheme="majorBidi"/>
        <w:noProof/>
      </w:rPr>
      <w:t>19</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9C3" w14:textId="7F73BC24"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647168">
      <w:rPr>
        <w:rFonts w:ascii="Calibri Light" w:eastAsia="Times New Roman" w:hAnsi="Calibri Light" w:cs="Times New Roman"/>
      </w:rPr>
      <w:t>31145</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B25CFB" w:rsidRPr="00B25CFB">
      <w:rPr>
        <w:rFonts w:ascii="Calibri Light" w:eastAsia="Times New Roman" w:hAnsi="Calibri Light" w:cs="Times New Roman"/>
        <w:noProof/>
      </w:rPr>
      <w:t>22</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802F" w14:textId="77777777" w:rsidR="001249CA" w:rsidRDefault="001249CA">
      <w:pPr>
        <w:spacing w:after="0" w:line="240" w:lineRule="auto"/>
      </w:pPr>
      <w:r>
        <w:separator/>
      </w:r>
    </w:p>
  </w:footnote>
  <w:footnote w:type="continuationSeparator" w:id="0">
    <w:p w14:paraId="2514B133" w14:textId="77777777" w:rsidR="001249CA" w:rsidRDefault="0012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FAEE1EF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986624">
    <w:abstractNumId w:val="21"/>
  </w:num>
  <w:num w:numId="2" w16cid:durableId="39520578">
    <w:abstractNumId w:val="26"/>
  </w:num>
  <w:num w:numId="3" w16cid:durableId="1218542359">
    <w:abstractNumId w:val="15"/>
  </w:num>
  <w:num w:numId="4" w16cid:durableId="786779755">
    <w:abstractNumId w:val="24"/>
  </w:num>
  <w:num w:numId="5" w16cid:durableId="1687831770">
    <w:abstractNumId w:val="32"/>
  </w:num>
  <w:num w:numId="6" w16cid:durableId="806162546">
    <w:abstractNumId w:val="29"/>
  </w:num>
  <w:num w:numId="7" w16cid:durableId="84302525">
    <w:abstractNumId w:val="9"/>
  </w:num>
  <w:num w:numId="8" w16cid:durableId="1268125329">
    <w:abstractNumId w:val="4"/>
  </w:num>
  <w:num w:numId="9" w16cid:durableId="1026712890">
    <w:abstractNumId w:val="27"/>
  </w:num>
  <w:num w:numId="10" w16cid:durableId="1121724350">
    <w:abstractNumId w:val="14"/>
  </w:num>
  <w:num w:numId="11" w16cid:durableId="145360454">
    <w:abstractNumId w:val="33"/>
  </w:num>
  <w:num w:numId="12" w16cid:durableId="22941732">
    <w:abstractNumId w:val="31"/>
  </w:num>
  <w:num w:numId="13" w16cid:durableId="1598756843">
    <w:abstractNumId w:val="17"/>
  </w:num>
  <w:num w:numId="14" w16cid:durableId="288096976">
    <w:abstractNumId w:val="6"/>
  </w:num>
  <w:num w:numId="15" w16cid:durableId="365375585">
    <w:abstractNumId w:val="28"/>
  </w:num>
  <w:num w:numId="16" w16cid:durableId="1627195296">
    <w:abstractNumId w:val="34"/>
  </w:num>
  <w:num w:numId="17" w16cid:durableId="1564221321">
    <w:abstractNumId w:val="8"/>
  </w:num>
  <w:num w:numId="18" w16cid:durableId="1538851966">
    <w:abstractNumId w:val="0"/>
  </w:num>
  <w:num w:numId="19" w16cid:durableId="409473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6089620">
    <w:abstractNumId w:val="5"/>
  </w:num>
  <w:num w:numId="21" w16cid:durableId="1493791775">
    <w:abstractNumId w:val="18"/>
  </w:num>
  <w:num w:numId="22" w16cid:durableId="1698196261">
    <w:abstractNumId w:val="30"/>
  </w:num>
  <w:num w:numId="23" w16cid:durableId="1370374613">
    <w:abstractNumId w:val="1"/>
  </w:num>
  <w:num w:numId="24" w16cid:durableId="239995754">
    <w:abstractNumId w:val="19"/>
  </w:num>
  <w:num w:numId="25" w16cid:durableId="1618678072">
    <w:abstractNumId w:val="20"/>
  </w:num>
  <w:num w:numId="26" w16cid:durableId="764498886">
    <w:abstractNumId w:val="3"/>
  </w:num>
  <w:num w:numId="27" w16cid:durableId="1768698437">
    <w:abstractNumId w:val="10"/>
  </w:num>
  <w:num w:numId="28" w16cid:durableId="1228687875">
    <w:abstractNumId w:val="23"/>
  </w:num>
  <w:num w:numId="29" w16cid:durableId="1242713526">
    <w:abstractNumId w:val="25"/>
  </w:num>
  <w:num w:numId="30" w16cid:durableId="1334727255">
    <w:abstractNumId w:val="22"/>
  </w:num>
  <w:num w:numId="31" w16cid:durableId="640963047">
    <w:abstractNumId w:val="12"/>
  </w:num>
  <w:num w:numId="32" w16cid:durableId="2061900120">
    <w:abstractNumId w:val="7"/>
  </w:num>
  <w:num w:numId="33" w16cid:durableId="1176533682">
    <w:abstractNumId w:val="2"/>
  </w:num>
  <w:num w:numId="34" w16cid:durableId="371813012">
    <w:abstractNumId w:val="11"/>
  </w:num>
  <w:num w:numId="35" w16cid:durableId="105010693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1461C"/>
    <w:rsid w:val="001148A7"/>
    <w:rsid w:val="001154ED"/>
    <w:rsid w:val="00115C6D"/>
    <w:rsid w:val="001161C6"/>
    <w:rsid w:val="00121BFD"/>
    <w:rsid w:val="00122EF0"/>
    <w:rsid w:val="00123DF0"/>
    <w:rsid w:val="001249CA"/>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7783"/>
    <w:rsid w:val="002D0CA6"/>
    <w:rsid w:val="002D131A"/>
    <w:rsid w:val="002D1692"/>
    <w:rsid w:val="002D19A4"/>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E35"/>
    <w:rsid w:val="00364959"/>
    <w:rsid w:val="00366FBB"/>
    <w:rsid w:val="00371206"/>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23F71"/>
    <w:rsid w:val="004301C9"/>
    <w:rsid w:val="004352E0"/>
    <w:rsid w:val="004408F3"/>
    <w:rsid w:val="00440948"/>
    <w:rsid w:val="0044195F"/>
    <w:rsid w:val="0044282D"/>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494D"/>
    <w:rsid w:val="004A7D50"/>
    <w:rsid w:val="004B118C"/>
    <w:rsid w:val="004B11E1"/>
    <w:rsid w:val="004B1609"/>
    <w:rsid w:val="004B52B3"/>
    <w:rsid w:val="004B62FE"/>
    <w:rsid w:val="004C1611"/>
    <w:rsid w:val="004C2B2E"/>
    <w:rsid w:val="004C2C0F"/>
    <w:rsid w:val="004D019F"/>
    <w:rsid w:val="004D0BC2"/>
    <w:rsid w:val="004D4358"/>
    <w:rsid w:val="004D701D"/>
    <w:rsid w:val="004E2BDD"/>
    <w:rsid w:val="004E2C5C"/>
    <w:rsid w:val="004E39AE"/>
    <w:rsid w:val="004E4C50"/>
    <w:rsid w:val="004F0A94"/>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4CAE"/>
    <w:rsid w:val="00554D32"/>
    <w:rsid w:val="00557653"/>
    <w:rsid w:val="00561F68"/>
    <w:rsid w:val="00564192"/>
    <w:rsid w:val="00572207"/>
    <w:rsid w:val="00574220"/>
    <w:rsid w:val="00574B5B"/>
    <w:rsid w:val="00575439"/>
    <w:rsid w:val="00580D6B"/>
    <w:rsid w:val="00580DF1"/>
    <w:rsid w:val="005821A4"/>
    <w:rsid w:val="00595317"/>
    <w:rsid w:val="005963C8"/>
    <w:rsid w:val="00596580"/>
    <w:rsid w:val="005A097F"/>
    <w:rsid w:val="005A1554"/>
    <w:rsid w:val="005A50A8"/>
    <w:rsid w:val="005A6017"/>
    <w:rsid w:val="005A750A"/>
    <w:rsid w:val="005A7924"/>
    <w:rsid w:val="005B3134"/>
    <w:rsid w:val="005B5D16"/>
    <w:rsid w:val="005C52FC"/>
    <w:rsid w:val="005C6C9B"/>
    <w:rsid w:val="005D07FC"/>
    <w:rsid w:val="005D2772"/>
    <w:rsid w:val="005D36A5"/>
    <w:rsid w:val="005D5315"/>
    <w:rsid w:val="005D6505"/>
    <w:rsid w:val="005E2284"/>
    <w:rsid w:val="005E5BF8"/>
    <w:rsid w:val="005E63EE"/>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47168"/>
    <w:rsid w:val="0065116E"/>
    <w:rsid w:val="0066305C"/>
    <w:rsid w:val="00663EA0"/>
    <w:rsid w:val="0066469A"/>
    <w:rsid w:val="0067251B"/>
    <w:rsid w:val="00672618"/>
    <w:rsid w:val="00681E03"/>
    <w:rsid w:val="00683D64"/>
    <w:rsid w:val="00687C09"/>
    <w:rsid w:val="0069181F"/>
    <w:rsid w:val="00691F7F"/>
    <w:rsid w:val="006B2EC9"/>
    <w:rsid w:val="006B3053"/>
    <w:rsid w:val="006B4B02"/>
    <w:rsid w:val="006B6920"/>
    <w:rsid w:val="006C0A5F"/>
    <w:rsid w:val="006C1203"/>
    <w:rsid w:val="006C1671"/>
    <w:rsid w:val="006C1AF0"/>
    <w:rsid w:val="006C4484"/>
    <w:rsid w:val="006C5B3F"/>
    <w:rsid w:val="006C6DB8"/>
    <w:rsid w:val="006D0F0A"/>
    <w:rsid w:val="006E28DC"/>
    <w:rsid w:val="006E7011"/>
    <w:rsid w:val="006F1EA7"/>
    <w:rsid w:val="006F5DF4"/>
    <w:rsid w:val="00700E31"/>
    <w:rsid w:val="00701667"/>
    <w:rsid w:val="00704159"/>
    <w:rsid w:val="00706784"/>
    <w:rsid w:val="00710B98"/>
    <w:rsid w:val="007136EB"/>
    <w:rsid w:val="00713791"/>
    <w:rsid w:val="00714509"/>
    <w:rsid w:val="007173BE"/>
    <w:rsid w:val="00717835"/>
    <w:rsid w:val="007279CF"/>
    <w:rsid w:val="00731175"/>
    <w:rsid w:val="0073126F"/>
    <w:rsid w:val="0073258F"/>
    <w:rsid w:val="0073497D"/>
    <w:rsid w:val="007372D3"/>
    <w:rsid w:val="007410CF"/>
    <w:rsid w:val="00746F04"/>
    <w:rsid w:val="00747E9A"/>
    <w:rsid w:val="00750698"/>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6D43"/>
    <w:rsid w:val="00877AA5"/>
    <w:rsid w:val="0088189F"/>
    <w:rsid w:val="008828B3"/>
    <w:rsid w:val="00886C6B"/>
    <w:rsid w:val="008918F2"/>
    <w:rsid w:val="008951D0"/>
    <w:rsid w:val="008971DB"/>
    <w:rsid w:val="008A5007"/>
    <w:rsid w:val="008B0377"/>
    <w:rsid w:val="008B2EB0"/>
    <w:rsid w:val="008C21BE"/>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0C91"/>
    <w:rsid w:val="009A1E52"/>
    <w:rsid w:val="009A1F5C"/>
    <w:rsid w:val="009A2119"/>
    <w:rsid w:val="009A3932"/>
    <w:rsid w:val="009A5609"/>
    <w:rsid w:val="009A75DB"/>
    <w:rsid w:val="009B2DEB"/>
    <w:rsid w:val="009B5B06"/>
    <w:rsid w:val="009B7006"/>
    <w:rsid w:val="009B7FB6"/>
    <w:rsid w:val="009C0EEB"/>
    <w:rsid w:val="009C3CFC"/>
    <w:rsid w:val="009C3EA8"/>
    <w:rsid w:val="009C6AB9"/>
    <w:rsid w:val="009C6B40"/>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3F66"/>
    <w:rsid w:val="00A64EB0"/>
    <w:rsid w:val="00A653A0"/>
    <w:rsid w:val="00A653C1"/>
    <w:rsid w:val="00A7018A"/>
    <w:rsid w:val="00A708D5"/>
    <w:rsid w:val="00A70FF1"/>
    <w:rsid w:val="00A73B9F"/>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2D95"/>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F0A7F"/>
    <w:rsid w:val="00AF14A9"/>
    <w:rsid w:val="00AF2585"/>
    <w:rsid w:val="00AF3162"/>
    <w:rsid w:val="00B000B4"/>
    <w:rsid w:val="00B00CD9"/>
    <w:rsid w:val="00B00D0D"/>
    <w:rsid w:val="00B045BB"/>
    <w:rsid w:val="00B10214"/>
    <w:rsid w:val="00B110E2"/>
    <w:rsid w:val="00B11935"/>
    <w:rsid w:val="00B152C2"/>
    <w:rsid w:val="00B15C52"/>
    <w:rsid w:val="00B16E7C"/>
    <w:rsid w:val="00B239ED"/>
    <w:rsid w:val="00B25CFB"/>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F97"/>
    <w:rsid w:val="00BD119B"/>
    <w:rsid w:val="00BD3514"/>
    <w:rsid w:val="00BD659D"/>
    <w:rsid w:val="00BE0054"/>
    <w:rsid w:val="00BE79DA"/>
    <w:rsid w:val="00BE7BD0"/>
    <w:rsid w:val="00BF07D2"/>
    <w:rsid w:val="00BF1102"/>
    <w:rsid w:val="00BF1222"/>
    <w:rsid w:val="00BF49DE"/>
    <w:rsid w:val="00BF5F51"/>
    <w:rsid w:val="00BF6DC9"/>
    <w:rsid w:val="00BF786D"/>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13A3"/>
    <w:rsid w:val="00CB24D2"/>
    <w:rsid w:val="00CB25DB"/>
    <w:rsid w:val="00CB715A"/>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4BA4"/>
    <w:rsid w:val="00D05F4C"/>
    <w:rsid w:val="00D075EA"/>
    <w:rsid w:val="00D07871"/>
    <w:rsid w:val="00D169F8"/>
    <w:rsid w:val="00D17AAB"/>
    <w:rsid w:val="00D22925"/>
    <w:rsid w:val="00D3077A"/>
    <w:rsid w:val="00D339F9"/>
    <w:rsid w:val="00D36F66"/>
    <w:rsid w:val="00D42555"/>
    <w:rsid w:val="00D449FC"/>
    <w:rsid w:val="00D450F2"/>
    <w:rsid w:val="00D45757"/>
    <w:rsid w:val="00D4576E"/>
    <w:rsid w:val="00D4700A"/>
    <w:rsid w:val="00D50193"/>
    <w:rsid w:val="00D5060B"/>
    <w:rsid w:val="00D5072B"/>
    <w:rsid w:val="00D53B45"/>
    <w:rsid w:val="00D53BB2"/>
    <w:rsid w:val="00D564E9"/>
    <w:rsid w:val="00D56651"/>
    <w:rsid w:val="00D64429"/>
    <w:rsid w:val="00D64E1F"/>
    <w:rsid w:val="00D66BE9"/>
    <w:rsid w:val="00D756B3"/>
    <w:rsid w:val="00D80DFB"/>
    <w:rsid w:val="00D8516D"/>
    <w:rsid w:val="00D90BC5"/>
    <w:rsid w:val="00D925A0"/>
    <w:rsid w:val="00D94F99"/>
    <w:rsid w:val="00DA356A"/>
    <w:rsid w:val="00DA62CE"/>
    <w:rsid w:val="00DA76A9"/>
    <w:rsid w:val="00DB1F08"/>
    <w:rsid w:val="00DB3F59"/>
    <w:rsid w:val="00DB6A92"/>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0744"/>
    <w:rsid w:val="00E71C5A"/>
    <w:rsid w:val="00E73000"/>
    <w:rsid w:val="00E80AAF"/>
    <w:rsid w:val="00E814A8"/>
    <w:rsid w:val="00E8319A"/>
    <w:rsid w:val="00E86452"/>
    <w:rsid w:val="00E86D75"/>
    <w:rsid w:val="00E87002"/>
    <w:rsid w:val="00E87370"/>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4EBE"/>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25"/>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E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ddoxml@health.missouri.edu" TargetMode="Externa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E0AF-1BBA-48B9-9E1D-1123165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7419</Words>
  <Characters>42290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49610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2018-06-07T23:25:00Z</cp:lastPrinted>
  <dcterms:created xsi:type="dcterms:W3CDTF">2023-06-01T19:40:00Z</dcterms:created>
  <dcterms:modified xsi:type="dcterms:W3CDTF">2023-06-01T19:40:00Z</dcterms:modified>
</cp:coreProperties>
</file>