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02239" w14:textId="77777777" w:rsidR="00D3777D" w:rsidRDefault="00D3777D" w:rsidP="00D3777D">
      <w:pPr>
        <w:spacing w:after="0"/>
        <w:rPr>
          <w:b/>
          <w:bCs/>
          <w:u w:val="single"/>
        </w:rPr>
      </w:pPr>
    </w:p>
    <w:p w14:paraId="1151FBE9" w14:textId="77777777" w:rsidR="00287906" w:rsidRDefault="00287906" w:rsidP="00D3777D">
      <w:pPr>
        <w:spacing w:after="0"/>
        <w:rPr>
          <w:b/>
          <w:bCs/>
          <w:u w:val="single"/>
        </w:rPr>
      </w:pPr>
    </w:p>
    <w:p w14:paraId="721D08D1" w14:textId="77777777" w:rsidR="00287906" w:rsidRDefault="00287906" w:rsidP="00D3777D">
      <w:pPr>
        <w:spacing w:after="0"/>
        <w:rPr>
          <w:b/>
          <w:bCs/>
          <w:u w:val="single"/>
        </w:rPr>
      </w:pPr>
    </w:p>
    <w:p w14:paraId="0E80B05C" w14:textId="77777777" w:rsidR="00287906" w:rsidRDefault="00287906" w:rsidP="00D3777D">
      <w:pPr>
        <w:spacing w:after="0"/>
        <w:rPr>
          <w:b/>
          <w:bCs/>
          <w:u w:val="single"/>
        </w:rPr>
      </w:pPr>
    </w:p>
    <w:p w14:paraId="1A8BFE90" w14:textId="77777777" w:rsidR="00287906" w:rsidRDefault="00287906" w:rsidP="00D3777D">
      <w:pPr>
        <w:spacing w:after="0"/>
        <w:rPr>
          <w:b/>
          <w:bCs/>
          <w:u w:val="single"/>
        </w:rPr>
      </w:pPr>
    </w:p>
    <w:p w14:paraId="5076BD14" w14:textId="77777777" w:rsidR="00287906" w:rsidRPr="00287906" w:rsidRDefault="00287906" w:rsidP="00287906">
      <w:pPr>
        <w:jc w:val="center"/>
        <w:rPr>
          <w:b/>
          <w:sz w:val="24"/>
          <w:szCs w:val="24"/>
        </w:rPr>
      </w:pPr>
      <w:r w:rsidRPr="00287906">
        <w:rPr>
          <w:b/>
          <w:sz w:val="24"/>
          <w:szCs w:val="24"/>
        </w:rPr>
        <w:t>Request for Information</w:t>
      </w:r>
    </w:p>
    <w:p w14:paraId="262D7C11" w14:textId="51F691C0" w:rsidR="00287906" w:rsidRPr="00287906" w:rsidRDefault="00287906" w:rsidP="00287906">
      <w:pPr>
        <w:jc w:val="center"/>
        <w:rPr>
          <w:b/>
          <w:sz w:val="24"/>
          <w:szCs w:val="24"/>
        </w:rPr>
      </w:pPr>
      <w:r w:rsidRPr="00287906">
        <w:rPr>
          <w:b/>
          <w:sz w:val="24"/>
          <w:szCs w:val="24"/>
        </w:rPr>
        <w:t>For</w:t>
      </w:r>
    </w:p>
    <w:p w14:paraId="5DE10CB9" w14:textId="02BECC5C" w:rsidR="00287906" w:rsidRDefault="00791085" w:rsidP="00287906">
      <w:pPr>
        <w:jc w:val="center"/>
        <w:rPr>
          <w:b/>
          <w:sz w:val="24"/>
          <w:szCs w:val="24"/>
        </w:rPr>
      </w:pPr>
      <w:r>
        <w:rPr>
          <w:b/>
          <w:sz w:val="24"/>
          <w:szCs w:val="24"/>
        </w:rPr>
        <w:t>Ambulatory Online Patient Scheduling Solutions</w:t>
      </w:r>
    </w:p>
    <w:p w14:paraId="32364441" w14:textId="54C95FD7" w:rsidR="000D1269" w:rsidRPr="00287906" w:rsidRDefault="000D1269" w:rsidP="00287906">
      <w:pPr>
        <w:jc w:val="center"/>
        <w:rPr>
          <w:b/>
          <w:sz w:val="24"/>
          <w:szCs w:val="24"/>
        </w:rPr>
      </w:pPr>
      <w:r>
        <w:rPr>
          <w:b/>
          <w:sz w:val="24"/>
          <w:szCs w:val="24"/>
        </w:rPr>
        <w:t>for</w:t>
      </w:r>
    </w:p>
    <w:p w14:paraId="217C2C2B" w14:textId="77777777" w:rsidR="00D3777D" w:rsidRDefault="00D3777D" w:rsidP="00287906">
      <w:pPr>
        <w:jc w:val="center"/>
        <w:rPr>
          <w:b/>
          <w:sz w:val="24"/>
          <w:szCs w:val="24"/>
        </w:rPr>
      </w:pPr>
      <w:r w:rsidRPr="00287906">
        <w:rPr>
          <w:b/>
          <w:sz w:val="24"/>
          <w:szCs w:val="24"/>
        </w:rPr>
        <w:t>The Curators of the University of Missouri</w:t>
      </w:r>
    </w:p>
    <w:p w14:paraId="49CD9427" w14:textId="35B73E16" w:rsidR="000D1269" w:rsidRPr="00287906" w:rsidRDefault="000D1269" w:rsidP="00287906">
      <w:pPr>
        <w:jc w:val="center"/>
        <w:rPr>
          <w:b/>
          <w:sz w:val="24"/>
          <w:szCs w:val="24"/>
        </w:rPr>
      </w:pPr>
      <w:r>
        <w:rPr>
          <w:b/>
          <w:sz w:val="24"/>
          <w:szCs w:val="24"/>
        </w:rPr>
        <w:t>On behalf of MU Health Care</w:t>
      </w:r>
    </w:p>
    <w:p w14:paraId="1488E1BB" w14:textId="1BC2D42B" w:rsidR="00D3777D" w:rsidRPr="00287906" w:rsidRDefault="00D3777D" w:rsidP="00287906">
      <w:pPr>
        <w:jc w:val="center"/>
        <w:rPr>
          <w:b/>
          <w:sz w:val="24"/>
          <w:szCs w:val="24"/>
        </w:rPr>
      </w:pPr>
      <w:r w:rsidRPr="00287906">
        <w:rPr>
          <w:b/>
          <w:sz w:val="24"/>
          <w:szCs w:val="24"/>
        </w:rPr>
        <w:t>RFI #</w:t>
      </w:r>
      <w:r w:rsidR="00791085" w:rsidRPr="00791085">
        <w:rPr>
          <w:b/>
          <w:sz w:val="24"/>
          <w:szCs w:val="24"/>
        </w:rPr>
        <w:t>31210</w:t>
      </w:r>
    </w:p>
    <w:p w14:paraId="6D614D2C" w14:textId="137EFB42" w:rsidR="00D3777D" w:rsidRPr="00287906" w:rsidRDefault="00287906" w:rsidP="00D3777D">
      <w:pPr>
        <w:jc w:val="center"/>
        <w:rPr>
          <w:b/>
          <w:sz w:val="24"/>
          <w:szCs w:val="24"/>
        </w:rPr>
      </w:pPr>
      <w:r w:rsidRPr="00791085">
        <w:rPr>
          <w:b/>
          <w:sz w:val="24"/>
          <w:szCs w:val="24"/>
        </w:rPr>
        <w:t>Due Date</w:t>
      </w:r>
      <w:r w:rsidR="000D1269" w:rsidRPr="00791085">
        <w:rPr>
          <w:b/>
          <w:sz w:val="24"/>
          <w:szCs w:val="24"/>
        </w:rPr>
        <w:t>:</w:t>
      </w:r>
      <w:r w:rsidRPr="00791085">
        <w:rPr>
          <w:b/>
          <w:sz w:val="24"/>
          <w:szCs w:val="24"/>
        </w:rPr>
        <w:t xml:space="preserve"> </w:t>
      </w:r>
      <w:r w:rsidR="00791085" w:rsidRPr="00791085">
        <w:rPr>
          <w:b/>
          <w:sz w:val="24"/>
          <w:szCs w:val="24"/>
        </w:rPr>
        <w:t>February</w:t>
      </w:r>
      <w:r w:rsidRPr="00791085">
        <w:rPr>
          <w:b/>
          <w:sz w:val="24"/>
          <w:szCs w:val="24"/>
        </w:rPr>
        <w:t xml:space="preserve"> </w:t>
      </w:r>
      <w:r w:rsidR="00791085" w:rsidRPr="00791085">
        <w:rPr>
          <w:b/>
          <w:sz w:val="24"/>
          <w:szCs w:val="24"/>
        </w:rPr>
        <w:t>20</w:t>
      </w:r>
      <w:r w:rsidRPr="00791085">
        <w:rPr>
          <w:b/>
          <w:sz w:val="24"/>
          <w:szCs w:val="24"/>
        </w:rPr>
        <w:t>, 202</w:t>
      </w:r>
      <w:r w:rsidR="00791085" w:rsidRPr="00791085">
        <w:rPr>
          <w:b/>
          <w:sz w:val="24"/>
          <w:szCs w:val="24"/>
        </w:rPr>
        <w:t>6</w:t>
      </w:r>
    </w:p>
    <w:p w14:paraId="0428EE61" w14:textId="6D1C84CC" w:rsidR="00D3777D" w:rsidRDefault="00D3777D" w:rsidP="00D3777D">
      <w:pPr>
        <w:jc w:val="center"/>
        <w:rPr>
          <w:b/>
          <w:sz w:val="48"/>
          <w:szCs w:val="48"/>
        </w:rPr>
      </w:pPr>
    </w:p>
    <w:p w14:paraId="7A1F6C62" w14:textId="77777777" w:rsidR="00D3777D" w:rsidRDefault="00D3777D" w:rsidP="00D3777D">
      <w:pPr>
        <w:jc w:val="center"/>
        <w:rPr>
          <w:b/>
          <w:sz w:val="48"/>
          <w:szCs w:val="48"/>
        </w:rPr>
      </w:pPr>
    </w:p>
    <w:p w14:paraId="109AFB01" w14:textId="4306FE10" w:rsidR="00D3777D" w:rsidRPr="00791085" w:rsidRDefault="00D3777D" w:rsidP="00287906">
      <w:pPr>
        <w:spacing w:after="0"/>
        <w:jc w:val="center"/>
        <w:rPr>
          <w:b/>
          <w:sz w:val="24"/>
          <w:szCs w:val="24"/>
        </w:rPr>
      </w:pPr>
      <w:r w:rsidRPr="00791085">
        <w:rPr>
          <w:b/>
          <w:sz w:val="24"/>
          <w:szCs w:val="24"/>
        </w:rPr>
        <w:t xml:space="preserve">Submit responses to </w:t>
      </w:r>
      <w:r w:rsidR="00791085" w:rsidRPr="00791085">
        <w:rPr>
          <w:b/>
          <w:sz w:val="24"/>
          <w:szCs w:val="24"/>
        </w:rPr>
        <w:t>Marcy Maddox</w:t>
      </w:r>
      <w:r w:rsidRPr="00791085">
        <w:rPr>
          <w:b/>
          <w:sz w:val="24"/>
          <w:szCs w:val="24"/>
        </w:rPr>
        <w:t xml:space="preserve"> at </w:t>
      </w:r>
      <w:hyperlink r:id="rId7" w:history="1">
        <w:r w:rsidR="00791085" w:rsidRPr="00791085">
          <w:rPr>
            <w:rStyle w:val="Hyperlink"/>
            <w:b/>
            <w:sz w:val="24"/>
            <w:szCs w:val="24"/>
          </w:rPr>
          <w:t>maddoxml@health.missouri.edu</w:t>
        </w:r>
      </w:hyperlink>
      <w:r w:rsidR="00191183" w:rsidRPr="00791085">
        <w:rPr>
          <w:b/>
          <w:sz w:val="24"/>
          <w:szCs w:val="24"/>
        </w:rPr>
        <w:t xml:space="preserve"> </w:t>
      </w:r>
      <w:r w:rsidRPr="00791085">
        <w:rPr>
          <w:b/>
          <w:sz w:val="24"/>
          <w:szCs w:val="24"/>
        </w:rPr>
        <w:t>no later than</w:t>
      </w:r>
    </w:p>
    <w:p w14:paraId="249C1B6C" w14:textId="43CE327C" w:rsidR="00D3777D" w:rsidRPr="00287906" w:rsidRDefault="00791085" w:rsidP="00287906">
      <w:pPr>
        <w:jc w:val="center"/>
        <w:rPr>
          <w:b/>
          <w:sz w:val="24"/>
          <w:szCs w:val="24"/>
        </w:rPr>
      </w:pPr>
      <w:r w:rsidRPr="00791085">
        <w:rPr>
          <w:b/>
          <w:sz w:val="24"/>
          <w:szCs w:val="24"/>
        </w:rPr>
        <w:t>February</w:t>
      </w:r>
      <w:r w:rsidR="00287906" w:rsidRPr="00791085">
        <w:rPr>
          <w:b/>
          <w:sz w:val="24"/>
          <w:szCs w:val="24"/>
        </w:rPr>
        <w:t xml:space="preserve"> </w:t>
      </w:r>
      <w:r w:rsidRPr="00791085">
        <w:rPr>
          <w:b/>
          <w:sz w:val="24"/>
          <w:szCs w:val="24"/>
        </w:rPr>
        <w:t>20</w:t>
      </w:r>
      <w:r w:rsidR="00287906" w:rsidRPr="00791085">
        <w:rPr>
          <w:b/>
          <w:sz w:val="24"/>
          <w:szCs w:val="24"/>
        </w:rPr>
        <w:t>, 202</w:t>
      </w:r>
      <w:r w:rsidRPr="00791085">
        <w:rPr>
          <w:b/>
          <w:sz w:val="24"/>
          <w:szCs w:val="24"/>
        </w:rPr>
        <w:t>6</w:t>
      </w:r>
      <w:r w:rsidR="00287906" w:rsidRPr="00791085">
        <w:rPr>
          <w:b/>
          <w:sz w:val="24"/>
          <w:szCs w:val="24"/>
        </w:rPr>
        <w:t xml:space="preserve"> </w:t>
      </w:r>
      <w:r w:rsidR="00D3777D" w:rsidRPr="00791085">
        <w:rPr>
          <w:b/>
          <w:sz w:val="24"/>
          <w:szCs w:val="24"/>
        </w:rPr>
        <w:t xml:space="preserve">at </w:t>
      </w:r>
      <w:r w:rsidR="00287906" w:rsidRPr="00791085">
        <w:rPr>
          <w:b/>
          <w:sz w:val="24"/>
          <w:szCs w:val="24"/>
        </w:rPr>
        <w:t>3:00</w:t>
      </w:r>
      <w:r w:rsidR="00D3777D" w:rsidRPr="00791085">
        <w:rPr>
          <w:b/>
          <w:sz w:val="24"/>
          <w:szCs w:val="24"/>
        </w:rPr>
        <w:t xml:space="preserve"> p.m. CDT.</w:t>
      </w:r>
    </w:p>
    <w:p w14:paraId="1480D8DA" w14:textId="2E0BD28D" w:rsidR="00D3777D" w:rsidRDefault="00D3777D" w:rsidP="00D3777D">
      <w:pPr>
        <w:jc w:val="center"/>
        <w:rPr>
          <w:b/>
          <w:sz w:val="48"/>
          <w:szCs w:val="48"/>
        </w:rPr>
      </w:pPr>
    </w:p>
    <w:p w14:paraId="16993D46" w14:textId="77777777" w:rsidR="00D3777D" w:rsidRDefault="00D3777D" w:rsidP="00D3777D">
      <w:pPr>
        <w:jc w:val="center"/>
        <w:rPr>
          <w:b/>
          <w:sz w:val="48"/>
          <w:szCs w:val="48"/>
        </w:rPr>
      </w:pPr>
    </w:p>
    <w:p w14:paraId="21395636" w14:textId="77777777" w:rsidR="00D3777D" w:rsidRDefault="00D3777D" w:rsidP="00D3777D">
      <w:pPr>
        <w:spacing w:after="0"/>
        <w:rPr>
          <w:b/>
          <w:bCs/>
          <w:u w:val="single"/>
        </w:rPr>
      </w:pPr>
    </w:p>
    <w:p w14:paraId="1EEBF0BE" w14:textId="77777777" w:rsidR="00D3777D" w:rsidRDefault="00D3777D" w:rsidP="00D3777D">
      <w:pPr>
        <w:spacing w:after="0"/>
        <w:rPr>
          <w:b/>
          <w:bCs/>
          <w:u w:val="single"/>
        </w:rPr>
      </w:pPr>
    </w:p>
    <w:p w14:paraId="20176920" w14:textId="77777777" w:rsidR="00D3777D" w:rsidRDefault="00D3777D" w:rsidP="00D3777D">
      <w:pPr>
        <w:spacing w:after="0"/>
        <w:rPr>
          <w:b/>
          <w:bCs/>
          <w:u w:val="single"/>
        </w:rPr>
      </w:pPr>
    </w:p>
    <w:p w14:paraId="6036F10C" w14:textId="77777777" w:rsidR="00D3777D" w:rsidRDefault="00D3777D" w:rsidP="00D3777D">
      <w:pPr>
        <w:spacing w:after="0"/>
        <w:rPr>
          <w:b/>
          <w:sz w:val="32"/>
          <w:szCs w:val="32"/>
        </w:rPr>
      </w:pPr>
    </w:p>
    <w:p w14:paraId="069E4301" w14:textId="77777777" w:rsidR="00DE7BE0" w:rsidRDefault="00DE7BE0" w:rsidP="00D3777D">
      <w:pPr>
        <w:spacing w:after="0"/>
        <w:rPr>
          <w:b/>
          <w:sz w:val="32"/>
          <w:szCs w:val="32"/>
        </w:rPr>
      </w:pPr>
    </w:p>
    <w:p w14:paraId="5B7A4B48" w14:textId="77777777" w:rsidR="00DE7BE0" w:rsidRDefault="00DE7BE0" w:rsidP="00D3777D">
      <w:pPr>
        <w:spacing w:after="0"/>
        <w:rPr>
          <w:b/>
          <w:sz w:val="32"/>
          <w:szCs w:val="32"/>
        </w:rPr>
      </w:pPr>
    </w:p>
    <w:p w14:paraId="088828E8" w14:textId="77777777" w:rsidR="00DE7BE0" w:rsidRDefault="00DE7BE0" w:rsidP="00D3777D">
      <w:pPr>
        <w:spacing w:after="0"/>
        <w:rPr>
          <w:b/>
          <w:bCs/>
          <w:u w:val="single"/>
        </w:rPr>
      </w:pPr>
    </w:p>
    <w:p w14:paraId="5F77A138" w14:textId="77777777" w:rsidR="00F10241" w:rsidRDefault="00F10241" w:rsidP="00D3777D">
      <w:pPr>
        <w:spacing w:after="0"/>
        <w:rPr>
          <w:b/>
          <w:bCs/>
          <w:u w:val="single"/>
        </w:rPr>
      </w:pPr>
    </w:p>
    <w:p w14:paraId="033378ED" w14:textId="77777777" w:rsidR="00F10241" w:rsidRDefault="00F10241" w:rsidP="00D3777D">
      <w:pPr>
        <w:spacing w:after="0"/>
        <w:rPr>
          <w:b/>
          <w:bCs/>
          <w:u w:val="single"/>
        </w:rPr>
      </w:pPr>
    </w:p>
    <w:p w14:paraId="2D81BB36" w14:textId="77777777" w:rsidR="00F10241" w:rsidRDefault="00F10241" w:rsidP="00D3777D">
      <w:pPr>
        <w:spacing w:after="0"/>
        <w:rPr>
          <w:b/>
          <w:bCs/>
          <w:u w:val="single"/>
        </w:rPr>
      </w:pPr>
    </w:p>
    <w:p w14:paraId="0F90F20C" w14:textId="77777777" w:rsidR="00F10241" w:rsidRDefault="00F10241" w:rsidP="00D3777D">
      <w:pPr>
        <w:spacing w:after="0"/>
        <w:rPr>
          <w:b/>
          <w:bCs/>
          <w:u w:val="single"/>
        </w:rPr>
      </w:pPr>
    </w:p>
    <w:p w14:paraId="733B7217" w14:textId="77777777" w:rsidR="00791085" w:rsidRPr="00791085" w:rsidRDefault="000A62CE" w:rsidP="00791085">
      <w:pPr>
        <w:spacing w:before="100" w:beforeAutospacing="1" w:after="100" w:afterAutospacing="1" w:line="240" w:lineRule="auto"/>
        <w:rPr>
          <w:rFonts w:ascii="Times New Roman" w:eastAsia="Times New Roman" w:hAnsi="Times New Roman" w:cs="Times New Roman"/>
          <w:sz w:val="24"/>
          <w:szCs w:val="24"/>
        </w:rPr>
      </w:pPr>
      <w:r w:rsidRPr="000A62CE">
        <w:rPr>
          <w:rFonts w:ascii="Times New Roman" w:eastAsia="Times New Roman" w:hAnsi="Times New Roman" w:cs="Times New Roman"/>
          <w:b/>
          <w:bCs/>
          <w:sz w:val="24"/>
          <w:szCs w:val="24"/>
        </w:rPr>
        <w:lastRenderedPageBreak/>
        <w:t>Introduction:</w:t>
      </w:r>
      <w:r w:rsidRPr="000A62CE">
        <w:rPr>
          <w:rFonts w:ascii="Times New Roman" w:eastAsia="Times New Roman" w:hAnsi="Times New Roman" w:cs="Times New Roman"/>
          <w:sz w:val="24"/>
          <w:szCs w:val="24"/>
        </w:rPr>
        <w:t xml:space="preserve"> </w:t>
      </w:r>
      <w:r w:rsidR="00791085" w:rsidRPr="00791085">
        <w:rPr>
          <w:rFonts w:ascii="Times New Roman" w:eastAsia="Times New Roman" w:hAnsi="Times New Roman" w:cs="Times New Roman"/>
          <w:sz w:val="24"/>
          <w:szCs w:val="24"/>
        </w:rPr>
        <w:t xml:space="preserve">MUHC is seeking information regarding </w:t>
      </w:r>
      <w:r w:rsidR="00791085" w:rsidRPr="00791085">
        <w:rPr>
          <w:rFonts w:ascii="Times New Roman" w:eastAsia="Times New Roman" w:hAnsi="Times New Roman" w:cs="Times New Roman"/>
          <w:b/>
          <w:bCs/>
          <w:sz w:val="24"/>
          <w:szCs w:val="24"/>
        </w:rPr>
        <w:t>ambulatory online patient scheduling solutions</w:t>
      </w:r>
      <w:r w:rsidR="00791085" w:rsidRPr="00791085">
        <w:rPr>
          <w:rFonts w:ascii="Times New Roman" w:eastAsia="Times New Roman" w:hAnsi="Times New Roman" w:cs="Times New Roman"/>
          <w:sz w:val="24"/>
          <w:szCs w:val="24"/>
        </w:rPr>
        <w:t xml:space="preserve"> that support patient self</w:t>
      </w:r>
      <w:r w:rsidR="00791085" w:rsidRPr="00791085">
        <w:rPr>
          <w:rFonts w:ascii="Times New Roman" w:eastAsia="Times New Roman" w:hAnsi="Times New Roman" w:cs="Times New Roman"/>
          <w:sz w:val="24"/>
          <w:szCs w:val="24"/>
        </w:rPr>
        <w:noBreakHyphen/>
        <w:t>scheduling, operational efficiency, and integration with enterprise clinical and revenue systems.</w:t>
      </w:r>
    </w:p>
    <w:p w14:paraId="4A94CFD2" w14:textId="3ADE7F0E" w:rsidR="00791085" w:rsidRPr="00791085" w:rsidRDefault="00791085" w:rsidP="00791085">
      <w:pPr>
        <w:spacing w:before="100" w:beforeAutospacing="1" w:after="100" w:afterAutospacing="1" w:line="240" w:lineRule="auto"/>
        <w:rPr>
          <w:rFonts w:ascii="Times New Roman" w:eastAsia="Times New Roman" w:hAnsi="Times New Roman" w:cs="Times New Roman"/>
          <w:sz w:val="24"/>
          <w:szCs w:val="24"/>
        </w:rPr>
      </w:pPr>
      <w:r w:rsidRPr="000A62CE">
        <w:rPr>
          <w:rFonts w:ascii="Times New Roman" w:eastAsia="Times New Roman" w:hAnsi="Times New Roman" w:cs="Times New Roman"/>
          <w:b/>
          <w:bCs/>
          <w:sz w:val="24"/>
          <w:szCs w:val="24"/>
        </w:rPr>
        <w:t>Objective:</w:t>
      </w:r>
      <w:r w:rsidRPr="000A62CE">
        <w:rPr>
          <w:rFonts w:ascii="Times New Roman" w:eastAsia="Times New Roman" w:hAnsi="Times New Roman" w:cs="Times New Roman"/>
          <w:sz w:val="24"/>
          <w:szCs w:val="24"/>
        </w:rPr>
        <w:t xml:space="preserve"> </w:t>
      </w:r>
      <w:r w:rsidRPr="00791085">
        <w:rPr>
          <w:rFonts w:ascii="Times New Roman" w:eastAsia="Times New Roman" w:hAnsi="Times New Roman" w:cs="Times New Roman"/>
          <w:sz w:val="24"/>
          <w:szCs w:val="24"/>
        </w:rPr>
        <w:t>The purpose of this RFI is to:</w:t>
      </w:r>
    </w:p>
    <w:p w14:paraId="49F581AE" w14:textId="77777777" w:rsidR="00791085" w:rsidRPr="00791085" w:rsidRDefault="00791085" w:rsidP="0079108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91085">
        <w:rPr>
          <w:rFonts w:ascii="Times New Roman" w:eastAsia="Times New Roman" w:hAnsi="Times New Roman" w:cs="Times New Roman"/>
          <w:sz w:val="24"/>
          <w:szCs w:val="24"/>
        </w:rPr>
        <w:t>Understand current market capabilities</w:t>
      </w:r>
    </w:p>
    <w:p w14:paraId="6A7CDA9B" w14:textId="77777777" w:rsidR="00791085" w:rsidRPr="00791085" w:rsidRDefault="00791085" w:rsidP="0079108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91085">
        <w:rPr>
          <w:rFonts w:ascii="Times New Roman" w:eastAsia="Times New Roman" w:hAnsi="Times New Roman" w:cs="Times New Roman"/>
          <w:sz w:val="24"/>
          <w:szCs w:val="24"/>
        </w:rPr>
        <w:t>Assess vendor fit for ambulatory scheduling use cases</w:t>
      </w:r>
    </w:p>
    <w:p w14:paraId="52DB69D0" w14:textId="77777777" w:rsidR="00791085" w:rsidRPr="00791085" w:rsidRDefault="00791085" w:rsidP="0079108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91085">
        <w:rPr>
          <w:rFonts w:ascii="Times New Roman" w:eastAsia="Times New Roman" w:hAnsi="Times New Roman" w:cs="Times New Roman"/>
          <w:sz w:val="24"/>
          <w:szCs w:val="24"/>
        </w:rPr>
        <w:t>Inform a potential future RFP and shortlist</w:t>
      </w:r>
    </w:p>
    <w:p w14:paraId="70B462ED" w14:textId="20630063" w:rsidR="000A62CE" w:rsidRPr="000A62CE" w:rsidRDefault="00791085" w:rsidP="000A62CE">
      <w:pPr>
        <w:spacing w:before="100" w:beforeAutospacing="1" w:after="100" w:afterAutospacing="1" w:line="240" w:lineRule="auto"/>
        <w:rPr>
          <w:rFonts w:ascii="Times New Roman" w:eastAsia="Times New Roman" w:hAnsi="Times New Roman" w:cs="Times New Roman"/>
          <w:sz w:val="24"/>
          <w:szCs w:val="24"/>
        </w:rPr>
      </w:pPr>
      <w:r w:rsidRPr="00791085">
        <w:rPr>
          <w:rFonts w:ascii="Times New Roman" w:eastAsia="Times New Roman" w:hAnsi="Times New Roman" w:cs="Times New Roman"/>
          <w:sz w:val="24"/>
          <w:szCs w:val="24"/>
        </w:rPr>
        <w:t xml:space="preserve">This RFI is </w:t>
      </w:r>
      <w:r w:rsidRPr="00791085">
        <w:rPr>
          <w:rFonts w:ascii="Times New Roman" w:eastAsia="Times New Roman" w:hAnsi="Times New Roman" w:cs="Times New Roman"/>
          <w:b/>
          <w:bCs/>
          <w:sz w:val="24"/>
          <w:szCs w:val="24"/>
        </w:rPr>
        <w:t>not a solicitation for pricing or contract award</w:t>
      </w:r>
      <w:r w:rsidRPr="00791085">
        <w:rPr>
          <w:rFonts w:ascii="Times New Roman" w:eastAsia="Times New Roman" w:hAnsi="Times New Roman" w:cs="Times New Roman"/>
          <w:sz w:val="24"/>
          <w:szCs w:val="24"/>
        </w:rPr>
        <w:t>.</w:t>
      </w:r>
    </w:p>
    <w:p w14:paraId="757C769D" w14:textId="26154772" w:rsidR="000A62CE" w:rsidRPr="000A62CE" w:rsidRDefault="000A62CE" w:rsidP="000A62CE">
      <w:pPr>
        <w:spacing w:before="100" w:beforeAutospacing="1" w:after="100" w:afterAutospacing="1" w:line="240" w:lineRule="auto"/>
        <w:rPr>
          <w:rFonts w:ascii="Times New Roman" w:eastAsia="Times New Roman" w:hAnsi="Times New Roman" w:cs="Times New Roman"/>
          <w:sz w:val="24"/>
          <w:szCs w:val="24"/>
        </w:rPr>
      </w:pPr>
      <w:r w:rsidRPr="000A62CE">
        <w:rPr>
          <w:rFonts w:ascii="Times New Roman" w:eastAsia="Times New Roman" w:hAnsi="Times New Roman" w:cs="Times New Roman"/>
          <w:b/>
          <w:bCs/>
          <w:sz w:val="24"/>
          <w:szCs w:val="24"/>
        </w:rPr>
        <w:t>Scope:</w:t>
      </w:r>
      <w:r w:rsidRPr="000A62CE">
        <w:rPr>
          <w:rFonts w:ascii="Times New Roman" w:eastAsia="Times New Roman" w:hAnsi="Times New Roman" w:cs="Times New Roman"/>
          <w:sz w:val="24"/>
          <w:szCs w:val="24"/>
        </w:rPr>
        <w:t xml:space="preserve"> </w:t>
      </w:r>
      <w:r w:rsidR="00791085">
        <w:rPr>
          <w:rFonts w:ascii="Times New Roman" w:eastAsia="Times New Roman" w:hAnsi="Times New Roman" w:cs="Times New Roman"/>
          <w:sz w:val="24"/>
          <w:szCs w:val="24"/>
        </w:rPr>
        <w:t xml:space="preserve">MU Health Care has more than 50 outpatient clinics that offer primary care and specialty care services. </w:t>
      </w:r>
    </w:p>
    <w:p w14:paraId="2D2967C7" w14:textId="1CF95B77" w:rsidR="005F3C89" w:rsidRDefault="005F3C89" w:rsidP="000A62CE">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Respondents should provide information on the following. Additional supporting documentation in form of narrative, brochures, supplemental materials, etc. should be provided. </w:t>
      </w:r>
    </w:p>
    <w:p w14:paraId="6ACAF045" w14:textId="559D2385" w:rsidR="005F3C89" w:rsidRPr="005F3C89" w:rsidRDefault="005F3C89" w:rsidP="005F3C89">
      <w:pPr>
        <w:spacing w:before="100" w:beforeAutospacing="1" w:after="100" w:afterAutospacing="1" w:line="240" w:lineRule="auto"/>
        <w:rPr>
          <w:rFonts w:ascii="Times New Roman" w:eastAsia="Times New Roman" w:hAnsi="Times New Roman" w:cs="Times New Roman"/>
          <w:b/>
          <w:bCs/>
          <w:sz w:val="24"/>
          <w:szCs w:val="24"/>
        </w:rPr>
      </w:pPr>
      <w:r w:rsidRPr="005F3C89">
        <w:rPr>
          <w:rFonts w:ascii="Times New Roman" w:eastAsia="Times New Roman" w:hAnsi="Times New Roman" w:cs="Times New Roman"/>
          <w:b/>
          <w:bCs/>
          <w:sz w:val="24"/>
          <w:szCs w:val="24"/>
        </w:rPr>
        <w:t>Solution Overview</w:t>
      </w:r>
    </w:p>
    <w:p w14:paraId="067089F8"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b/>
          <w:bCs/>
          <w:sz w:val="24"/>
          <w:szCs w:val="24"/>
        </w:rPr>
      </w:pPr>
      <w:r w:rsidRPr="005F3C89">
        <w:rPr>
          <w:rFonts w:ascii="Times New Roman" w:eastAsia="Times New Roman" w:hAnsi="Times New Roman" w:cs="Times New Roman"/>
          <w:b/>
          <w:bCs/>
          <w:sz w:val="24"/>
          <w:szCs w:val="24"/>
        </w:rPr>
        <w:t>Please provide a concise overview of your solution.</w:t>
      </w:r>
    </w:p>
    <w:p w14:paraId="2669AF29" w14:textId="77777777" w:rsidR="005F3C89" w:rsidRPr="005F3C89" w:rsidRDefault="005F3C89" w:rsidP="005F3C8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Company name, ownership structure, and years in healthcare</w:t>
      </w:r>
    </w:p>
    <w:p w14:paraId="3F7176FC" w14:textId="77777777" w:rsidR="005F3C89" w:rsidRPr="005F3C89" w:rsidRDefault="005F3C89" w:rsidP="005F3C8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Primary product name(s) relevant to ambulatory scheduling</w:t>
      </w:r>
    </w:p>
    <w:p w14:paraId="7EEE7922" w14:textId="77777777" w:rsidR="005F3C89" w:rsidRPr="005F3C89" w:rsidRDefault="005F3C89" w:rsidP="005F3C8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Target customer profile (practice size, health systems, AMCs)</w:t>
      </w:r>
    </w:p>
    <w:p w14:paraId="1DAA1A85" w14:textId="77777777" w:rsidR="005F3C89" w:rsidRPr="005F3C89" w:rsidRDefault="005F3C89" w:rsidP="005F3C8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Approximate number of healthcare clients using online scheduling</w:t>
      </w:r>
    </w:p>
    <w:p w14:paraId="14E29674" w14:textId="4F96E350" w:rsidR="005F3C89" w:rsidRPr="005F3C89" w:rsidRDefault="005F3C89" w:rsidP="005F3C8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Typical implementation model (hosted / SaaS)</w:t>
      </w:r>
    </w:p>
    <w:p w14:paraId="53B2A274" w14:textId="19435F4D" w:rsidR="005F3C89" w:rsidRPr="005F3C89" w:rsidRDefault="005F3C89" w:rsidP="005F3C89">
      <w:pPr>
        <w:spacing w:after="0" w:line="240" w:lineRule="auto"/>
        <w:rPr>
          <w:rFonts w:ascii="Times New Roman" w:eastAsia="Times New Roman" w:hAnsi="Times New Roman" w:cs="Times New Roman"/>
          <w:b/>
          <w:bCs/>
          <w:sz w:val="24"/>
          <w:szCs w:val="24"/>
        </w:rPr>
      </w:pPr>
      <w:r w:rsidRPr="005F3C89">
        <w:rPr>
          <w:rFonts w:ascii="Times New Roman" w:eastAsia="Times New Roman" w:hAnsi="Times New Roman" w:cs="Times New Roman"/>
          <w:b/>
          <w:bCs/>
          <w:sz w:val="24"/>
          <w:szCs w:val="24"/>
        </w:rPr>
        <w:t>Core Scheduling Capabilities</w:t>
      </w:r>
    </w:p>
    <w:p w14:paraId="070F0C78" w14:textId="77777777" w:rsidR="005F3C89" w:rsidRPr="005F3C89" w:rsidRDefault="005F3C89" w:rsidP="005F3C89">
      <w:pPr>
        <w:spacing w:after="100" w:afterAutospacing="1"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Indicate whether each capability is Available Today, Configurable, Planned, or Not Supported.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13"/>
        <w:gridCol w:w="66"/>
        <w:gridCol w:w="81"/>
      </w:tblGrid>
      <w:tr w:rsidR="005F3C89" w:rsidRPr="005F3C89" w14:paraId="50E27C02" w14:textId="77777777" w:rsidTr="005F3C89">
        <w:trPr>
          <w:tblCellSpacing w:w="15" w:type="dxa"/>
        </w:trPr>
        <w:tc>
          <w:tcPr>
            <w:tcW w:w="0" w:type="auto"/>
            <w:vAlign w:val="center"/>
            <w:hideMark/>
          </w:tcPr>
          <w:p w14:paraId="3B567142" w14:textId="77777777" w:rsidR="005F3C89" w:rsidRPr="005F3C89" w:rsidRDefault="005F3C89" w:rsidP="005F3C89">
            <w:pPr>
              <w:pStyle w:val="ListParagraph"/>
              <w:numPr>
                <w:ilvl w:val="0"/>
                <w:numId w:val="19"/>
              </w:numPr>
              <w:spacing w:after="0"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Patient self</w:t>
            </w:r>
            <w:r w:rsidRPr="005F3C89">
              <w:rPr>
                <w:rFonts w:ascii="Times New Roman" w:eastAsia="Times New Roman" w:hAnsi="Times New Roman" w:cs="Times New Roman"/>
                <w:sz w:val="24"/>
                <w:szCs w:val="24"/>
              </w:rPr>
              <w:noBreakHyphen/>
              <w:t>scheduling (web &amp; mobile)</w:t>
            </w:r>
          </w:p>
        </w:tc>
        <w:tc>
          <w:tcPr>
            <w:tcW w:w="0" w:type="auto"/>
            <w:vAlign w:val="center"/>
          </w:tcPr>
          <w:p w14:paraId="7E43D5C0" w14:textId="48ABC88A"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14:paraId="0B6C32B8"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r>
      <w:tr w:rsidR="005F3C89" w:rsidRPr="005F3C89" w14:paraId="31A63D35" w14:textId="77777777" w:rsidTr="005F3C89">
        <w:trPr>
          <w:tblCellSpacing w:w="15" w:type="dxa"/>
        </w:trPr>
        <w:tc>
          <w:tcPr>
            <w:tcW w:w="0" w:type="auto"/>
            <w:vAlign w:val="center"/>
            <w:hideMark/>
          </w:tcPr>
          <w:p w14:paraId="1BBC374A" w14:textId="77777777" w:rsidR="005F3C89" w:rsidRPr="005F3C89" w:rsidRDefault="005F3C89" w:rsidP="005F3C89">
            <w:pPr>
              <w:pStyle w:val="ListParagraph"/>
              <w:numPr>
                <w:ilvl w:val="0"/>
                <w:numId w:val="19"/>
              </w:numPr>
              <w:spacing w:after="0"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Real</w:t>
            </w:r>
            <w:r w:rsidRPr="005F3C89">
              <w:rPr>
                <w:rFonts w:ascii="Times New Roman" w:eastAsia="Times New Roman" w:hAnsi="Times New Roman" w:cs="Times New Roman"/>
                <w:sz w:val="24"/>
                <w:szCs w:val="24"/>
              </w:rPr>
              <w:noBreakHyphen/>
              <w:t>time provider availability</w:t>
            </w:r>
          </w:p>
        </w:tc>
        <w:tc>
          <w:tcPr>
            <w:tcW w:w="0" w:type="auto"/>
            <w:vAlign w:val="center"/>
          </w:tcPr>
          <w:p w14:paraId="1EA1CE34" w14:textId="01393F7C"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14:paraId="40705CD5"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r>
      <w:tr w:rsidR="005F3C89" w:rsidRPr="005F3C89" w14:paraId="2E56A075" w14:textId="77777777" w:rsidTr="005F3C89">
        <w:trPr>
          <w:tblCellSpacing w:w="15" w:type="dxa"/>
        </w:trPr>
        <w:tc>
          <w:tcPr>
            <w:tcW w:w="0" w:type="auto"/>
            <w:vAlign w:val="center"/>
            <w:hideMark/>
          </w:tcPr>
          <w:p w14:paraId="5186EE53" w14:textId="77777777" w:rsidR="005F3C89" w:rsidRPr="005F3C89" w:rsidRDefault="005F3C89" w:rsidP="005F3C89">
            <w:pPr>
              <w:pStyle w:val="ListParagraph"/>
              <w:numPr>
                <w:ilvl w:val="0"/>
                <w:numId w:val="19"/>
              </w:numPr>
              <w:spacing w:after="0"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Multi</w:t>
            </w:r>
            <w:r w:rsidRPr="005F3C89">
              <w:rPr>
                <w:rFonts w:ascii="Times New Roman" w:eastAsia="Times New Roman" w:hAnsi="Times New Roman" w:cs="Times New Roman"/>
                <w:sz w:val="24"/>
                <w:szCs w:val="24"/>
              </w:rPr>
              <w:noBreakHyphen/>
              <w:t>location scheduling</w:t>
            </w:r>
          </w:p>
        </w:tc>
        <w:tc>
          <w:tcPr>
            <w:tcW w:w="0" w:type="auto"/>
            <w:vAlign w:val="center"/>
          </w:tcPr>
          <w:p w14:paraId="4071B859" w14:textId="0C453A5D"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14:paraId="65BA1222"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r>
      <w:tr w:rsidR="005F3C89" w:rsidRPr="005F3C89" w14:paraId="7F9E984B" w14:textId="77777777" w:rsidTr="005F3C89">
        <w:trPr>
          <w:tblCellSpacing w:w="15" w:type="dxa"/>
        </w:trPr>
        <w:tc>
          <w:tcPr>
            <w:tcW w:w="0" w:type="auto"/>
            <w:vAlign w:val="center"/>
            <w:hideMark/>
          </w:tcPr>
          <w:p w14:paraId="4C5676E1" w14:textId="77777777" w:rsidR="005F3C89" w:rsidRPr="005F3C89" w:rsidRDefault="005F3C89" w:rsidP="005F3C89">
            <w:pPr>
              <w:pStyle w:val="ListParagraph"/>
              <w:numPr>
                <w:ilvl w:val="0"/>
                <w:numId w:val="19"/>
              </w:numPr>
              <w:spacing w:after="0"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Multi</w:t>
            </w:r>
            <w:r w:rsidRPr="005F3C89">
              <w:rPr>
                <w:rFonts w:ascii="Times New Roman" w:eastAsia="Times New Roman" w:hAnsi="Times New Roman" w:cs="Times New Roman"/>
                <w:sz w:val="24"/>
                <w:szCs w:val="24"/>
              </w:rPr>
              <w:noBreakHyphen/>
              <w:t>provider / specialty scheduling</w:t>
            </w:r>
          </w:p>
        </w:tc>
        <w:tc>
          <w:tcPr>
            <w:tcW w:w="0" w:type="auto"/>
            <w:vAlign w:val="center"/>
          </w:tcPr>
          <w:p w14:paraId="2C1B6F6E" w14:textId="56DCABBF"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14:paraId="338E92B2"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r>
      <w:tr w:rsidR="005F3C89" w:rsidRPr="005F3C89" w14:paraId="1370982D" w14:textId="77777777" w:rsidTr="005F3C89">
        <w:trPr>
          <w:tblCellSpacing w:w="15" w:type="dxa"/>
        </w:trPr>
        <w:tc>
          <w:tcPr>
            <w:tcW w:w="0" w:type="auto"/>
            <w:vAlign w:val="center"/>
            <w:hideMark/>
          </w:tcPr>
          <w:p w14:paraId="02456917" w14:textId="77777777" w:rsidR="005F3C89" w:rsidRPr="005F3C89" w:rsidRDefault="005F3C89" w:rsidP="005F3C89">
            <w:pPr>
              <w:pStyle w:val="ListParagraph"/>
              <w:numPr>
                <w:ilvl w:val="0"/>
                <w:numId w:val="19"/>
              </w:numPr>
              <w:spacing w:after="0"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New vs. established patient rules</w:t>
            </w:r>
          </w:p>
        </w:tc>
        <w:tc>
          <w:tcPr>
            <w:tcW w:w="0" w:type="auto"/>
            <w:vAlign w:val="center"/>
          </w:tcPr>
          <w:p w14:paraId="3BDD43F0" w14:textId="6AB598EF"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14:paraId="32842AF4"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r>
      <w:tr w:rsidR="005F3C89" w:rsidRPr="005F3C89" w14:paraId="25529F1F" w14:textId="77777777" w:rsidTr="005F3C89">
        <w:trPr>
          <w:tblCellSpacing w:w="15" w:type="dxa"/>
        </w:trPr>
        <w:tc>
          <w:tcPr>
            <w:tcW w:w="0" w:type="auto"/>
            <w:vAlign w:val="center"/>
            <w:hideMark/>
          </w:tcPr>
          <w:p w14:paraId="618ABF67" w14:textId="77777777" w:rsidR="005F3C89" w:rsidRPr="005F3C89" w:rsidRDefault="005F3C89" w:rsidP="005F3C89">
            <w:pPr>
              <w:pStyle w:val="ListParagraph"/>
              <w:numPr>
                <w:ilvl w:val="0"/>
                <w:numId w:val="19"/>
              </w:numPr>
              <w:spacing w:after="0"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Appointment type logic</w:t>
            </w:r>
          </w:p>
        </w:tc>
        <w:tc>
          <w:tcPr>
            <w:tcW w:w="0" w:type="auto"/>
            <w:vAlign w:val="center"/>
          </w:tcPr>
          <w:p w14:paraId="22DDB015" w14:textId="53B9098D"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14:paraId="2DB8CB0E"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r>
      <w:tr w:rsidR="005F3C89" w:rsidRPr="005F3C89" w14:paraId="4AE08262" w14:textId="77777777" w:rsidTr="005F3C89">
        <w:trPr>
          <w:tblCellSpacing w:w="15" w:type="dxa"/>
        </w:trPr>
        <w:tc>
          <w:tcPr>
            <w:tcW w:w="0" w:type="auto"/>
            <w:vAlign w:val="center"/>
            <w:hideMark/>
          </w:tcPr>
          <w:p w14:paraId="6DAF233A" w14:textId="77777777" w:rsidR="005F3C89" w:rsidRPr="005F3C89" w:rsidRDefault="005F3C89" w:rsidP="005F3C89">
            <w:pPr>
              <w:pStyle w:val="ListParagraph"/>
              <w:numPr>
                <w:ilvl w:val="0"/>
                <w:numId w:val="19"/>
              </w:numPr>
              <w:spacing w:after="0"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Cancellation by patient</w:t>
            </w:r>
          </w:p>
        </w:tc>
        <w:tc>
          <w:tcPr>
            <w:tcW w:w="0" w:type="auto"/>
            <w:vAlign w:val="center"/>
          </w:tcPr>
          <w:p w14:paraId="72E76666" w14:textId="7CB0424E"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14:paraId="32503A7C"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r>
      <w:tr w:rsidR="005F3C89" w:rsidRPr="005F3C89" w14:paraId="6FE9B066" w14:textId="77777777" w:rsidTr="00D90479">
        <w:trPr>
          <w:tblCellSpacing w:w="15" w:type="dxa"/>
        </w:trPr>
        <w:tc>
          <w:tcPr>
            <w:tcW w:w="0" w:type="auto"/>
            <w:vAlign w:val="center"/>
          </w:tcPr>
          <w:p w14:paraId="21F6D38D" w14:textId="77777777" w:rsidR="005F3C89" w:rsidRPr="005F3C89" w:rsidRDefault="005F3C89" w:rsidP="005F3C89">
            <w:pPr>
              <w:pStyle w:val="ListParagraph"/>
              <w:numPr>
                <w:ilvl w:val="0"/>
                <w:numId w:val="19"/>
              </w:numPr>
              <w:spacing w:after="0"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Rescheduling by patient</w:t>
            </w:r>
          </w:p>
        </w:tc>
        <w:tc>
          <w:tcPr>
            <w:tcW w:w="0" w:type="auto"/>
            <w:vAlign w:val="center"/>
          </w:tcPr>
          <w:p w14:paraId="151E9BEC" w14:textId="10ECB39C"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tcPr>
          <w:p w14:paraId="52505C17"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r>
      <w:tr w:rsidR="005F3C89" w:rsidRPr="005F3C89" w14:paraId="01B802CC" w14:textId="77777777" w:rsidTr="00D90479">
        <w:trPr>
          <w:tblCellSpacing w:w="15" w:type="dxa"/>
        </w:trPr>
        <w:tc>
          <w:tcPr>
            <w:tcW w:w="0" w:type="auto"/>
            <w:vAlign w:val="center"/>
            <w:hideMark/>
          </w:tcPr>
          <w:p w14:paraId="73213548" w14:textId="77777777" w:rsidR="005F3C89" w:rsidRPr="005F3C89" w:rsidRDefault="005F3C89" w:rsidP="005F3C89">
            <w:pPr>
              <w:pStyle w:val="ListParagraph"/>
              <w:numPr>
                <w:ilvl w:val="0"/>
                <w:numId w:val="19"/>
              </w:numPr>
              <w:spacing w:after="0"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Centralized scheduling view for staff</w:t>
            </w:r>
          </w:p>
        </w:tc>
        <w:tc>
          <w:tcPr>
            <w:tcW w:w="0" w:type="auto"/>
            <w:vAlign w:val="center"/>
            <w:hideMark/>
          </w:tcPr>
          <w:p w14:paraId="5C0611A7" w14:textId="63B31228"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14:paraId="6FE00F4D"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r>
      <w:tr w:rsidR="005F3C89" w:rsidRPr="005F3C89" w14:paraId="7DB0F0D6" w14:textId="77777777" w:rsidTr="00D90479">
        <w:trPr>
          <w:tblCellSpacing w:w="15" w:type="dxa"/>
        </w:trPr>
        <w:tc>
          <w:tcPr>
            <w:tcW w:w="0" w:type="auto"/>
            <w:vAlign w:val="center"/>
          </w:tcPr>
          <w:p w14:paraId="0B500F79" w14:textId="77777777" w:rsidR="005F3C89" w:rsidRPr="005F3C89" w:rsidRDefault="005F3C89" w:rsidP="005F3C89">
            <w:pPr>
              <w:pStyle w:val="ListParagraph"/>
              <w:numPr>
                <w:ilvl w:val="0"/>
                <w:numId w:val="19"/>
              </w:numPr>
              <w:spacing w:after="0"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Search for back-to-back slots at the same time (family scheduling)</w:t>
            </w:r>
          </w:p>
        </w:tc>
        <w:tc>
          <w:tcPr>
            <w:tcW w:w="0" w:type="auto"/>
            <w:vAlign w:val="center"/>
          </w:tcPr>
          <w:p w14:paraId="196E53C1"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tcPr>
          <w:p w14:paraId="388FBF76"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r>
      <w:tr w:rsidR="005F3C89" w:rsidRPr="005F3C89" w14:paraId="3A1E0925" w14:textId="77777777" w:rsidTr="00D90479">
        <w:trPr>
          <w:tblCellSpacing w:w="15" w:type="dxa"/>
        </w:trPr>
        <w:tc>
          <w:tcPr>
            <w:tcW w:w="0" w:type="auto"/>
            <w:vAlign w:val="center"/>
          </w:tcPr>
          <w:p w14:paraId="08143788" w14:textId="77777777" w:rsidR="005F3C89" w:rsidRPr="005F3C89" w:rsidRDefault="005F3C89" w:rsidP="005F3C89">
            <w:pPr>
              <w:pStyle w:val="ListParagraph"/>
              <w:numPr>
                <w:ilvl w:val="0"/>
                <w:numId w:val="19"/>
              </w:numPr>
              <w:spacing w:after="0"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Prevent fired patients from scheduling with a provider or clinic</w:t>
            </w:r>
          </w:p>
        </w:tc>
        <w:tc>
          <w:tcPr>
            <w:tcW w:w="0" w:type="auto"/>
            <w:vAlign w:val="center"/>
          </w:tcPr>
          <w:p w14:paraId="0AA32491"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tcPr>
          <w:p w14:paraId="2FBE7F15"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r>
      <w:tr w:rsidR="005F3C89" w:rsidRPr="005F3C89" w14:paraId="3D705FF2" w14:textId="77777777" w:rsidTr="00D90479">
        <w:trPr>
          <w:tblCellSpacing w:w="15" w:type="dxa"/>
        </w:trPr>
        <w:tc>
          <w:tcPr>
            <w:tcW w:w="0" w:type="auto"/>
            <w:vAlign w:val="center"/>
          </w:tcPr>
          <w:p w14:paraId="2D5192FB" w14:textId="77777777" w:rsidR="005F3C89" w:rsidRPr="005F3C89" w:rsidRDefault="005F3C89" w:rsidP="005F3C89">
            <w:pPr>
              <w:pStyle w:val="ListParagraph"/>
              <w:numPr>
                <w:ilvl w:val="0"/>
                <w:numId w:val="19"/>
              </w:numPr>
              <w:spacing w:after="0"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lastRenderedPageBreak/>
              <w:t>Relationship-based scheduling – look at past appointments to determine who the patient can schedule with</w:t>
            </w:r>
          </w:p>
        </w:tc>
        <w:tc>
          <w:tcPr>
            <w:tcW w:w="0" w:type="auto"/>
            <w:vAlign w:val="center"/>
          </w:tcPr>
          <w:p w14:paraId="2D80660D"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tcPr>
          <w:p w14:paraId="31D7C369"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r>
      <w:tr w:rsidR="005F3C89" w:rsidRPr="005F3C89" w14:paraId="41244A3A" w14:textId="77777777" w:rsidTr="00D90479">
        <w:trPr>
          <w:tblCellSpacing w:w="15" w:type="dxa"/>
        </w:trPr>
        <w:tc>
          <w:tcPr>
            <w:tcW w:w="0" w:type="auto"/>
            <w:vAlign w:val="center"/>
          </w:tcPr>
          <w:p w14:paraId="1B1DA7B9" w14:textId="77777777" w:rsidR="005F3C89" w:rsidRPr="005F3C89" w:rsidRDefault="005F3C89" w:rsidP="005F3C89">
            <w:pPr>
              <w:pStyle w:val="ListParagraph"/>
              <w:numPr>
                <w:ilvl w:val="0"/>
                <w:numId w:val="19"/>
              </w:numPr>
              <w:spacing w:after="0"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Return first available appointment regardless of appointment type (telehealth vs. in-clinic)</w:t>
            </w:r>
          </w:p>
        </w:tc>
        <w:tc>
          <w:tcPr>
            <w:tcW w:w="0" w:type="auto"/>
            <w:vAlign w:val="center"/>
          </w:tcPr>
          <w:p w14:paraId="5BB831C2"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tcPr>
          <w:p w14:paraId="4459B93E"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r>
      <w:tr w:rsidR="005F3C89" w:rsidRPr="005F3C89" w14:paraId="462BBE16" w14:textId="77777777" w:rsidTr="00D90479">
        <w:trPr>
          <w:tblCellSpacing w:w="15" w:type="dxa"/>
        </w:trPr>
        <w:tc>
          <w:tcPr>
            <w:tcW w:w="0" w:type="auto"/>
            <w:vAlign w:val="center"/>
          </w:tcPr>
          <w:p w14:paraId="0DFC64C0" w14:textId="77777777" w:rsidR="005F3C89" w:rsidRPr="005F3C89" w:rsidRDefault="005F3C89" w:rsidP="005F3C89">
            <w:pPr>
              <w:pStyle w:val="ListParagraph"/>
              <w:numPr>
                <w:ilvl w:val="0"/>
                <w:numId w:val="19"/>
              </w:numPr>
              <w:spacing w:after="0"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Centralized scheduling view for patients (family/proxy view of all appts)</w:t>
            </w:r>
          </w:p>
          <w:p w14:paraId="28407095" w14:textId="77777777" w:rsidR="005F3C89" w:rsidRPr="005F3C89" w:rsidRDefault="005F3C89" w:rsidP="005F3C89">
            <w:pPr>
              <w:spacing w:after="0" w:line="240" w:lineRule="auto"/>
              <w:rPr>
                <w:rFonts w:ascii="Times New Roman" w:eastAsia="Times New Roman" w:hAnsi="Times New Roman" w:cs="Times New Roman"/>
                <w:sz w:val="24"/>
                <w:szCs w:val="24"/>
              </w:rPr>
            </w:pPr>
          </w:p>
        </w:tc>
        <w:tc>
          <w:tcPr>
            <w:tcW w:w="0" w:type="auto"/>
            <w:vAlign w:val="center"/>
          </w:tcPr>
          <w:p w14:paraId="4B2BD1FB"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tcPr>
          <w:p w14:paraId="6B235975"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r>
    </w:tbl>
    <w:p w14:paraId="528597AA" w14:textId="77777777" w:rsidR="005F3C89" w:rsidRDefault="005F3C89" w:rsidP="005F3C89">
      <w:pPr>
        <w:spacing w:after="0" w:line="240" w:lineRule="auto"/>
        <w:rPr>
          <w:rFonts w:ascii="Times New Roman" w:eastAsia="Times New Roman" w:hAnsi="Times New Roman" w:cs="Times New Roman"/>
          <w:b/>
          <w:bCs/>
          <w:sz w:val="24"/>
          <w:szCs w:val="24"/>
        </w:rPr>
      </w:pPr>
      <w:r w:rsidRPr="005F3C89">
        <w:rPr>
          <w:rFonts w:ascii="Times New Roman" w:eastAsia="Times New Roman" w:hAnsi="Times New Roman" w:cs="Times New Roman"/>
          <w:b/>
          <w:bCs/>
          <w:sz w:val="24"/>
          <w:szCs w:val="24"/>
        </w:rPr>
        <w:t>Workflow, Automation &amp; Access Management</w:t>
      </w:r>
    </w:p>
    <w:p w14:paraId="1F635592" w14:textId="5281A436" w:rsidR="005F3C89" w:rsidRPr="005F3C89" w:rsidRDefault="005F3C89" w:rsidP="005F3C89">
      <w:pPr>
        <w:spacing w:after="0"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Indicate whether each capability is Available Today, Configurable, Planned, or Not Supported.</w:t>
      </w:r>
    </w:p>
    <w:p w14:paraId="115116C2" w14:textId="77777777" w:rsidR="005F3C89" w:rsidRPr="005F3C89" w:rsidRDefault="005F3C89" w:rsidP="005F3C89">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87"/>
        <w:gridCol w:w="66"/>
        <w:gridCol w:w="95"/>
      </w:tblGrid>
      <w:tr w:rsidR="005F3C89" w:rsidRPr="005F3C89" w14:paraId="4ED7DD1D" w14:textId="77777777" w:rsidTr="005F3C89">
        <w:trPr>
          <w:tblCellSpacing w:w="15" w:type="dxa"/>
        </w:trPr>
        <w:tc>
          <w:tcPr>
            <w:tcW w:w="0" w:type="auto"/>
            <w:vAlign w:val="center"/>
            <w:hideMark/>
          </w:tcPr>
          <w:p w14:paraId="3EFE3B10" w14:textId="77777777" w:rsidR="005F3C89" w:rsidRPr="005F3C89" w:rsidRDefault="005F3C89" w:rsidP="005F3C89">
            <w:pPr>
              <w:pStyle w:val="ListParagraph"/>
              <w:numPr>
                <w:ilvl w:val="0"/>
                <w:numId w:val="20"/>
              </w:numPr>
              <w:spacing w:after="0"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Automated confirmations &amp; reminders (SMS/email)</w:t>
            </w:r>
          </w:p>
        </w:tc>
        <w:tc>
          <w:tcPr>
            <w:tcW w:w="0" w:type="auto"/>
            <w:vAlign w:val="center"/>
          </w:tcPr>
          <w:p w14:paraId="3A2CA0DE" w14:textId="16B11119"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c>
          <w:tcPr>
            <w:tcW w:w="50" w:type="dxa"/>
            <w:vAlign w:val="center"/>
          </w:tcPr>
          <w:p w14:paraId="5D242622"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r>
      <w:tr w:rsidR="005F3C89" w:rsidRPr="005F3C89" w14:paraId="01F0AA23" w14:textId="77777777" w:rsidTr="005F3C89">
        <w:trPr>
          <w:tblCellSpacing w:w="15" w:type="dxa"/>
        </w:trPr>
        <w:tc>
          <w:tcPr>
            <w:tcW w:w="0" w:type="auto"/>
            <w:vAlign w:val="center"/>
            <w:hideMark/>
          </w:tcPr>
          <w:p w14:paraId="4A4A778D" w14:textId="77777777" w:rsidR="005F3C89" w:rsidRPr="005F3C89" w:rsidRDefault="005F3C89" w:rsidP="005F3C89">
            <w:pPr>
              <w:pStyle w:val="ListParagraph"/>
              <w:numPr>
                <w:ilvl w:val="0"/>
                <w:numId w:val="20"/>
              </w:numPr>
              <w:spacing w:after="0"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Waitlist &amp; slot</w:t>
            </w:r>
            <w:r w:rsidRPr="005F3C89">
              <w:rPr>
                <w:rFonts w:ascii="Times New Roman" w:eastAsia="Times New Roman" w:hAnsi="Times New Roman" w:cs="Times New Roman"/>
                <w:sz w:val="24"/>
                <w:szCs w:val="24"/>
              </w:rPr>
              <w:noBreakHyphen/>
              <w:t>fill automation</w:t>
            </w:r>
          </w:p>
        </w:tc>
        <w:tc>
          <w:tcPr>
            <w:tcW w:w="0" w:type="auto"/>
            <w:vAlign w:val="center"/>
          </w:tcPr>
          <w:p w14:paraId="25D94A25" w14:textId="21E9BB95"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c>
          <w:tcPr>
            <w:tcW w:w="50" w:type="dxa"/>
            <w:vAlign w:val="center"/>
          </w:tcPr>
          <w:p w14:paraId="1BFE32D4"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r>
      <w:tr w:rsidR="005F3C89" w:rsidRPr="005F3C89" w14:paraId="0D719587" w14:textId="77777777" w:rsidTr="005F3C89">
        <w:trPr>
          <w:tblCellSpacing w:w="15" w:type="dxa"/>
        </w:trPr>
        <w:tc>
          <w:tcPr>
            <w:tcW w:w="0" w:type="auto"/>
            <w:vAlign w:val="center"/>
            <w:hideMark/>
          </w:tcPr>
          <w:p w14:paraId="08BBC042" w14:textId="77777777" w:rsidR="005F3C89" w:rsidRPr="005F3C89" w:rsidRDefault="005F3C89" w:rsidP="005F3C89">
            <w:pPr>
              <w:pStyle w:val="ListParagraph"/>
              <w:numPr>
                <w:ilvl w:val="0"/>
                <w:numId w:val="20"/>
              </w:numPr>
              <w:spacing w:after="0"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Intake forms / pre</w:t>
            </w:r>
            <w:r w:rsidRPr="005F3C89">
              <w:rPr>
                <w:rFonts w:ascii="Times New Roman" w:eastAsia="Times New Roman" w:hAnsi="Times New Roman" w:cs="Times New Roman"/>
                <w:sz w:val="24"/>
                <w:szCs w:val="24"/>
              </w:rPr>
              <w:noBreakHyphen/>
              <w:t>visit questionnaires</w:t>
            </w:r>
          </w:p>
        </w:tc>
        <w:tc>
          <w:tcPr>
            <w:tcW w:w="0" w:type="auto"/>
            <w:vAlign w:val="center"/>
          </w:tcPr>
          <w:p w14:paraId="25CB58A8" w14:textId="1ECE1241"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c>
          <w:tcPr>
            <w:tcW w:w="50" w:type="dxa"/>
            <w:vAlign w:val="center"/>
          </w:tcPr>
          <w:p w14:paraId="0514E3BE"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r>
      <w:tr w:rsidR="005F3C89" w:rsidRPr="005F3C89" w14:paraId="2EB7D3D1" w14:textId="77777777" w:rsidTr="005F3C89">
        <w:trPr>
          <w:tblCellSpacing w:w="15" w:type="dxa"/>
        </w:trPr>
        <w:tc>
          <w:tcPr>
            <w:tcW w:w="0" w:type="auto"/>
            <w:vAlign w:val="center"/>
            <w:hideMark/>
          </w:tcPr>
          <w:p w14:paraId="59821F4A" w14:textId="77777777" w:rsidR="005F3C89" w:rsidRPr="005F3C89" w:rsidRDefault="005F3C89" w:rsidP="005F3C89">
            <w:pPr>
              <w:pStyle w:val="ListParagraph"/>
              <w:numPr>
                <w:ilvl w:val="0"/>
                <w:numId w:val="20"/>
              </w:numPr>
              <w:spacing w:after="0"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Eligibility checks or prompts</w:t>
            </w:r>
          </w:p>
        </w:tc>
        <w:tc>
          <w:tcPr>
            <w:tcW w:w="0" w:type="auto"/>
            <w:vAlign w:val="center"/>
          </w:tcPr>
          <w:p w14:paraId="6FF747C3" w14:textId="629F1A42"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c>
          <w:tcPr>
            <w:tcW w:w="50" w:type="dxa"/>
            <w:vAlign w:val="center"/>
          </w:tcPr>
          <w:p w14:paraId="7C88FF51"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r>
      <w:tr w:rsidR="005F3C89" w:rsidRPr="005F3C89" w14:paraId="03C8A04A" w14:textId="77777777" w:rsidTr="005F3C89">
        <w:trPr>
          <w:tblCellSpacing w:w="15" w:type="dxa"/>
        </w:trPr>
        <w:tc>
          <w:tcPr>
            <w:tcW w:w="0" w:type="auto"/>
            <w:vAlign w:val="center"/>
            <w:hideMark/>
          </w:tcPr>
          <w:p w14:paraId="5D45C979" w14:textId="77777777" w:rsidR="005F3C89" w:rsidRPr="005F3C89" w:rsidRDefault="005F3C89" w:rsidP="005F3C89">
            <w:pPr>
              <w:pStyle w:val="ListParagraph"/>
              <w:numPr>
                <w:ilvl w:val="0"/>
                <w:numId w:val="20"/>
              </w:numPr>
              <w:spacing w:after="0"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Referral</w:t>
            </w:r>
            <w:r w:rsidRPr="005F3C89">
              <w:rPr>
                <w:rFonts w:ascii="Times New Roman" w:eastAsia="Times New Roman" w:hAnsi="Times New Roman" w:cs="Times New Roman"/>
                <w:sz w:val="24"/>
                <w:szCs w:val="24"/>
              </w:rPr>
              <w:noBreakHyphen/>
              <w:t>based scheduling support</w:t>
            </w:r>
          </w:p>
        </w:tc>
        <w:tc>
          <w:tcPr>
            <w:tcW w:w="0" w:type="auto"/>
            <w:vAlign w:val="center"/>
          </w:tcPr>
          <w:p w14:paraId="594F0AE9" w14:textId="0CBF3D3B"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c>
          <w:tcPr>
            <w:tcW w:w="50" w:type="dxa"/>
            <w:vAlign w:val="center"/>
          </w:tcPr>
          <w:p w14:paraId="48627252"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r>
      <w:tr w:rsidR="005F3C89" w:rsidRPr="005F3C89" w14:paraId="771D3117" w14:textId="77777777" w:rsidTr="005F3C89">
        <w:trPr>
          <w:tblCellSpacing w:w="15" w:type="dxa"/>
        </w:trPr>
        <w:tc>
          <w:tcPr>
            <w:tcW w:w="0" w:type="auto"/>
            <w:vAlign w:val="center"/>
            <w:hideMark/>
          </w:tcPr>
          <w:p w14:paraId="42B9EAF5" w14:textId="77777777" w:rsidR="005F3C89" w:rsidRPr="005F3C89" w:rsidRDefault="005F3C89" w:rsidP="005F3C89">
            <w:pPr>
              <w:pStyle w:val="ListParagraph"/>
              <w:numPr>
                <w:ilvl w:val="0"/>
                <w:numId w:val="20"/>
              </w:numPr>
              <w:spacing w:after="0"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Telehealth scheduling</w:t>
            </w:r>
          </w:p>
        </w:tc>
        <w:tc>
          <w:tcPr>
            <w:tcW w:w="0" w:type="auto"/>
            <w:vAlign w:val="center"/>
          </w:tcPr>
          <w:p w14:paraId="71779C0E" w14:textId="1F9CBF73"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c>
          <w:tcPr>
            <w:tcW w:w="50" w:type="dxa"/>
            <w:vAlign w:val="center"/>
          </w:tcPr>
          <w:p w14:paraId="14AACA3D"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r>
      <w:tr w:rsidR="005F3C89" w:rsidRPr="005F3C89" w14:paraId="7BA109B4" w14:textId="77777777" w:rsidTr="005F3C89">
        <w:trPr>
          <w:tblCellSpacing w:w="15" w:type="dxa"/>
        </w:trPr>
        <w:tc>
          <w:tcPr>
            <w:tcW w:w="0" w:type="auto"/>
            <w:vAlign w:val="center"/>
          </w:tcPr>
          <w:p w14:paraId="35F142A1" w14:textId="77777777" w:rsidR="005F3C89" w:rsidRPr="005F3C89" w:rsidRDefault="005F3C89" w:rsidP="005F3C89">
            <w:pPr>
              <w:pStyle w:val="ListParagraph"/>
              <w:numPr>
                <w:ilvl w:val="0"/>
                <w:numId w:val="20"/>
              </w:numPr>
              <w:spacing w:after="0"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Real-time alerts to staff if patient schedules same day appointment</w:t>
            </w:r>
          </w:p>
        </w:tc>
        <w:tc>
          <w:tcPr>
            <w:tcW w:w="0" w:type="auto"/>
            <w:vAlign w:val="center"/>
          </w:tcPr>
          <w:p w14:paraId="0395FD53"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c>
          <w:tcPr>
            <w:tcW w:w="50" w:type="dxa"/>
            <w:vAlign w:val="center"/>
          </w:tcPr>
          <w:p w14:paraId="2C23FCAB"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p>
        </w:tc>
      </w:tr>
    </w:tbl>
    <w:p w14:paraId="365BB7FB" w14:textId="77777777" w:rsidR="005F3C89" w:rsidRDefault="005F3C89" w:rsidP="005F3C89">
      <w:pPr>
        <w:spacing w:after="0" w:line="240" w:lineRule="auto"/>
        <w:rPr>
          <w:rFonts w:ascii="Times New Roman" w:eastAsia="Times New Roman" w:hAnsi="Times New Roman" w:cs="Times New Roman"/>
          <w:b/>
          <w:bCs/>
          <w:sz w:val="24"/>
          <w:szCs w:val="24"/>
        </w:rPr>
      </w:pPr>
    </w:p>
    <w:p w14:paraId="6D3A2ED1" w14:textId="5FB82476" w:rsidR="005F3C89" w:rsidRDefault="005F3C89" w:rsidP="005F3C89">
      <w:pPr>
        <w:spacing w:after="0" w:line="240" w:lineRule="auto"/>
        <w:rPr>
          <w:rFonts w:ascii="Times New Roman" w:eastAsia="Times New Roman" w:hAnsi="Times New Roman" w:cs="Times New Roman"/>
          <w:b/>
          <w:bCs/>
          <w:sz w:val="24"/>
          <w:szCs w:val="24"/>
        </w:rPr>
      </w:pPr>
      <w:r w:rsidRPr="005F3C89">
        <w:rPr>
          <w:rFonts w:ascii="Times New Roman" w:eastAsia="Times New Roman" w:hAnsi="Times New Roman" w:cs="Times New Roman"/>
          <w:b/>
          <w:bCs/>
          <w:sz w:val="24"/>
          <w:szCs w:val="24"/>
        </w:rPr>
        <w:t>Integration &amp; Interoperability</w:t>
      </w:r>
    </w:p>
    <w:p w14:paraId="23A4339F" w14:textId="2DF6B994" w:rsidR="005F3C89" w:rsidRPr="005F3C89" w:rsidRDefault="005F3C89" w:rsidP="005F3C89">
      <w:pPr>
        <w:spacing w:after="0"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Please describe your integration capabilities.</w:t>
      </w:r>
    </w:p>
    <w:p w14:paraId="6D5D16DA" w14:textId="77777777" w:rsidR="005F3C89" w:rsidRPr="005F3C89" w:rsidRDefault="005F3C89" w:rsidP="005F3C8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Supported EHR / PM systems (list certified or active integrations)</w:t>
      </w:r>
    </w:p>
    <w:p w14:paraId="27429CF6" w14:textId="77777777" w:rsidR="005F3C89" w:rsidRPr="005F3C89" w:rsidRDefault="005F3C89" w:rsidP="005F3C8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Integration method(s):</w:t>
      </w:r>
      <w:r w:rsidRPr="005F3C89">
        <w:rPr>
          <w:rFonts w:ascii="Times New Roman" w:eastAsia="Times New Roman" w:hAnsi="Times New Roman" w:cs="Times New Roman"/>
          <w:sz w:val="24"/>
          <w:szCs w:val="24"/>
        </w:rPr>
        <w:br/>
      </w:r>
      <w:r w:rsidRPr="005F3C89">
        <w:rPr>
          <w:rFonts w:ascii="Segoe UI Symbol" w:eastAsia="Times New Roman" w:hAnsi="Segoe UI Symbol" w:cs="Segoe UI Symbol"/>
          <w:sz w:val="24"/>
          <w:szCs w:val="24"/>
        </w:rPr>
        <w:t>☐</w:t>
      </w:r>
      <w:r w:rsidRPr="005F3C89">
        <w:rPr>
          <w:rFonts w:ascii="Times New Roman" w:eastAsia="Times New Roman" w:hAnsi="Times New Roman" w:cs="Times New Roman"/>
          <w:sz w:val="24"/>
          <w:szCs w:val="24"/>
        </w:rPr>
        <w:t xml:space="preserve"> HL7 </w:t>
      </w:r>
      <w:r w:rsidRPr="005F3C89">
        <w:rPr>
          <w:rFonts w:ascii="Segoe UI Symbol" w:eastAsia="Times New Roman" w:hAnsi="Segoe UI Symbol" w:cs="Segoe UI Symbol"/>
          <w:sz w:val="24"/>
          <w:szCs w:val="24"/>
        </w:rPr>
        <w:t>☐</w:t>
      </w:r>
      <w:r w:rsidRPr="005F3C89">
        <w:rPr>
          <w:rFonts w:ascii="Times New Roman" w:eastAsia="Times New Roman" w:hAnsi="Times New Roman" w:cs="Times New Roman"/>
          <w:sz w:val="24"/>
          <w:szCs w:val="24"/>
        </w:rPr>
        <w:t xml:space="preserve"> FHIR </w:t>
      </w:r>
      <w:r w:rsidRPr="005F3C89">
        <w:rPr>
          <w:rFonts w:ascii="Segoe UI Symbol" w:eastAsia="Times New Roman" w:hAnsi="Segoe UI Symbol" w:cs="Segoe UI Symbol"/>
          <w:sz w:val="24"/>
          <w:szCs w:val="24"/>
        </w:rPr>
        <w:t>☐</w:t>
      </w:r>
      <w:r w:rsidRPr="005F3C89">
        <w:rPr>
          <w:rFonts w:ascii="Times New Roman" w:eastAsia="Times New Roman" w:hAnsi="Times New Roman" w:cs="Times New Roman"/>
          <w:sz w:val="24"/>
          <w:szCs w:val="24"/>
        </w:rPr>
        <w:t xml:space="preserve"> API </w:t>
      </w:r>
      <w:r w:rsidRPr="005F3C89">
        <w:rPr>
          <w:rFonts w:ascii="Segoe UI Symbol" w:eastAsia="Times New Roman" w:hAnsi="Segoe UI Symbol" w:cs="Segoe UI Symbol"/>
          <w:sz w:val="24"/>
          <w:szCs w:val="24"/>
        </w:rPr>
        <w:t>☐</w:t>
      </w:r>
      <w:r w:rsidRPr="005F3C89">
        <w:rPr>
          <w:rFonts w:ascii="Times New Roman" w:eastAsia="Times New Roman" w:hAnsi="Times New Roman" w:cs="Times New Roman"/>
          <w:sz w:val="24"/>
          <w:szCs w:val="24"/>
        </w:rPr>
        <w:t xml:space="preserve"> Flat File </w:t>
      </w:r>
      <w:r w:rsidRPr="005F3C89">
        <w:rPr>
          <w:rFonts w:ascii="Segoe UI Symbol" w:eastAsia="Times New Roman" w:hAnsi="Segoe UI Symbol" w:cs="Segoe UI Symbol"/>
          <w:sz w:val="24"/>
          <w:szCs w:val="24"/>
        </w:rPr>
        <w:t>☐</w:t>
      </w:r>
      <w:r w:rsidRPr="005F3C89">
        <w:rPr>
          <w:rFonts w:ascii="Times New Roman" w:eastAsia="Times New Roman" w:hAnsi="Times New Roman" w:cs="Times New Roman"/>
          <w:sz w:val="24"/>
          <w:szCs w:val="24"/>
        </w:rPr>
        <w:t xml:space="preserve"> Other</w:t>
      </w:r>
    </w:p>
    <w:p w14:paraId="418C5545" w14:textId="77777777" w:rsidR="005F3C89" w:rsidRPr="005F3C89" w:rsidRDefault="005F3C89" w:rsidP="005F3C8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Directionality:</w:t>
      </w:r>
      <w:r w:rsidRPr="005F3C89">
        <w:rPr>
          <w:rFonts w:ascii="Times New Roman" w:eastAsia="Times New Roman" w:hAnsi="Times New Roman" w:cs="Times New Roman"/>
          <w:sz w:val="24"/>
          <w:szCs w:val="24"/>
        </w:rPr>
        <w:br/>
      </w:r>
      <w:r w:rsidRPr="005F3C89">
        <w:rPr>
          <w:rFonts w:ascii="Segoe UI Symbol" w:eastAsia="Times New Roman" w:hAnsi="Segoe UI Symbol" w:cs="Segoe UI Symbol"/>
          <w:sz w:val="24"/>
          <w:szCs w:val="24"/>
        </w:rPr>
        <w:t>☐</w:t>
      </w:r>
      <w:r w:rsidRPr="005F3C89">
        <w:rPr>
          <w:rFonts w:ascii="Times New Roman" w:eastAsia="Times New Roman" w:hAnsi="Times New Roman" w:cs="Times New Roman"/>
          <w:sz w:val="24"/>
          <w:szCs w:val="24"/>
        </w:rPr>
        <w:t xml:space="preserve"> Read </w:t>
      </w:r>
      <w:r w:rsidRPr="005F3C89">
        <w:rPr>
          <w:rFonts w:ascii="Segoe UI Symbol" w:eastAsia="Times New Roman" w:hAnsi="Segoe UI Symbol" w:cs="Segoe UI Symbol"/>
          <w:sz w:val="24"/>
          <w:szCs w:val="24"/>
        </w:rPr>
        <w:t>☐</w:t>
      </w:r>
      <w:r w:rsidRPr="005F3C89">
        <w:rPr>
          <w:rFonts w:ascii="Times New Roman" w:eastAsia="Times New Roman" w:hAnsi="Times New Roman" w:cs="Times New Roman"/>
          <w:sz w:val="24"/>
          <w:szCs w:val="24"/>
        </w:rPr>
        <w:t xml:space="preserve"> Write </w:t>
      </w:r>
      <w:r w:rsidRPr="005F3C89">
        <w:rPr>
          <w:rFonts w:ascii="Segoe UI Symbol" w:eastAsia="Times New Roman" w:hAnsi="Segoe UI Symbol" w:cs="Segoe UI Symbol"/>
          <w:sz w:val="24"/>
          <w:szCs w:val="24"/>
        </w:rPr>
        <w:t>☐</w:t>
      </w:r>
      <w:r w:rsidRPr="005F3C89">
        <w:rPr>
          <w:rFonts w:ascii="Times New Roman" w:eastAsia="Times New Roman" w:hAnsi="Times New Roman" w:cs="Times New Roman"/>
          <w:sz w:val="24"/>
          <w:szCs w:val="24"/>
        </w:rPr>
        <w:t xml:space="preserve"> Bi</w:t>
      </w:r>
      <w:r w:rsidRPr="005F3C89">
        <w:rPr>
          <w:rFonts w:ascii="Times New Roman" w:eastAsia="Times New Roman" w:hAnsi="Times New Roman" w:cs="Times New Roman"/>
          <w:sz w:val="24"/>
          <w:szCs w:val="24"/>
        </w:rPr>
        <w:noBreakHyphen/>
        <w:t>directional</w:t>
      </w:r>
    </w:p>
    <w:p w14:paraId="3FB011FB" w14:textId="77777777" w:rsidR="005F3C89" w:rsidRPr="005F3C89" w:rsidRDefault="005F3C89" w:rsidP="005F3C8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Real</w:t>
      </w:r>
      <w:r w:rsidRPr="005F3C89">
        <w:rPr>
          <w:rFonts w:ascii="Times New Roman" w:eastAsia="Times New Roman" w:hAnsi="Times New Roman" w:cs="Times New Roman"/>
          <w:sz w:val="24"/>
          <w:szCs w:val="24"/>
        </w:rPr>
        <w:noBreakHyphen/>
        <w:t>time vs. batch sync</w:t>
      </w:r>
    </w:p>
    <w:p w14:paraId="60AEA2D2" w14:textId="77777777" w:rsidR="005F3C89" w:rsidRPr="005F3C89" w:rsidRDefault="005F3C89" w:rsidP="005F3C8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Single Sign</w:t>
      </w:r>
      <w:r w:rsidRPr="005F3C89">
        <w:rPr>
          <w:rFonts w:ascii="Times New Roman" w:eastAsia="Times New Roman" w:hAnsi="Times New Roman" w:cs="Times New Roman"/>
          <w:sz w:val="24"/>
          <w:szCs w:val="24"/>
        </w:rPr>
        <w:noBreakHyphen/>
        <w:t>On (SSO) support</w:t>
      </w:r>
    </w:p>
    <w:p w14:paraId="26A94DEC" w14:textId="77777777" w:rsidR="005F3C89" w:rsidRDefault="005F3C89" w:rsidP="005F3C8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Typical integration timeline</w:t>
      </w:r>
    </w:p>
    <w:p w14:paraId="0978CC6A" w14:textId="52703038" w:rsidR="00EA496D" w:rsidRDefault="00EA496D" w:rsidP="00EA496D">
      <w:pPr>
        <w:numPr>
          <w:ilvl w:val="0"/>
          <w:numId w:val="1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Patient matching methodologies</w:t>
      </w:r>
    </w:p>
    <w:p w14:paraId="7970711E" w14:textId="32E2D563" w:rsidR="00EA496D" w:rsidRPr="005F3C89" w:rsidRDefault="00EA496D" w:rsidP="00EA496D">
      <w:pPr>
        <w:numPr>
          <w:ilvl w:val="0"/>
          <w:numId w:val="1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Workflows for managing “not a match” scenarios</w:t>
      </w:r>
    </w:p>
    <w:p w14:paraId="481F2556" w14:textId="77ADEE59" w:rsidR="005F3C89" w:rsidRPr="005F3C89" w:rsidRDefault="005F3C89" w:rsidP="005F3C89">
      <w:pPr>
        <w:spacing w:before="100" w:beforeAutospacing="1" w:after="100" w:afterAutospacing="1" w:line="240" w:lineRule="auto"/>
        <w:rPr>
          <w:rFonts w:ascii="Times New Roman" w:eastAsia="Times New Roman" w:hAnsi="Times New Roman" w:cs="Times New Roman"/>
          <w:b/>
          <w:bCs/>
          <w:sz w:val="24"/>
          <w:szCs w:val="24"/>
        </w:rPr>
      </w:pPr>
    </w:p>
    <w:p w14:paraId="6DE81C78" w14:textId="33012BA7" w:rsidR="005F3C89" w:rsidRDefault="005F3C89" w:rsidP="005F3C89">
      <w:pPr>
        <w:spacing w:after="0" w:line="240" w:lineRule="auto"/>
        <w:rPr>
          <w:rFonts w:ascii="Times New Roman" w:eastAsia="Times New Roman" w:hAnsi="Times New Roman" w:cs="Times New Roman"/>
          <w:b/>
          <w:bCs/>
          <w:sz w:val="24"/>
          <w:szCs w:val="24"/>
        </w:rPr>
      </w:pPr>
      <w:r w:rsidRPr="005F3C89">
        <w:rPr>
          <w:rFonts w:ascii="Times New Roman" w:eastAsia="Times New Roman" w:hAnsi="Times New Roman" w:cs="Times New Roman"/>
          <w:b/>
          <w:bCs/>
          <w:sz w:val="24"/>
          <w:szCs w:val="24"/>
        </w:rPr>
        <w:t>Patient Experience &amp; Accessibility</w:t>
      </w:r>
    </w:p>
    <w:p w14:paraId="14EEEE59" w14:textId="24D01DCC" w:rsidR="005F3C89" w:rsidRPr="005F3C89" w:rsidRDefault="005F3C89" w:rsidP="005F3C89">
      <w:pPr>
        <w:spacing w:after="0"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Indicate whether each capability is Available Today, Configurable, Planned, or Not Supported.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55"/>
        <w:gridCol w:w="81"/>
      </w:tblGrid>
      <w:tr w:rsidR="005F3C89" w:rsidRPr="005F3C89" w14:paraId="47BA5B92" w14:textId="77777777" w:rsidTr="00D90479">
        <w:trPr>
          <w:tblCellSpacing w:w="15" w:type="dxa"/>
        </w:trPr>
        <w:tc>
          <w:tcPr>
            <w:tcW w:w="0" w:type="auto"/>
            <w:vAlign w:val="center"/>
            <w:hideMark/>
          </w:tcPr>
          <w:p w14:paraId="4BC63142" w14:textId="77777777" w:rsidR="005F3C89" w:rsidRPr="00F1405A" w:rsidRDefault="005F3C89" w:rsidP="00F1405A">
            <w:pPr>
              <w:pStyle w:val="ListParagraph"/>
              <w:spacing w:after="0" w:line="240" w:lineRule="auto"/>
              <w:rPr>
                <w:rFonts w:ascii="Times New Roman" w:eastAsia="Times New Roman" w:hAnsi="Times New Roman" w:cs="Times New Roman"/>
                <w:sz w:val="24"/>
                <w:szCs w:val="24"/>
              </w:rPr>
            </w:pPr>
          </w:p>
          <w:p w14:paraId="632FF6E3" w14:textId="28F7F6DC" w:rsidR="005F3C89" w:rsidRPr="00F1405A" w:rsidRDefault="005F3C89" w:rsidP="00F1405A">
            <w:pPr>
              <w:pStyle w:val="ListParagraph"/>
              <w:numPr>
                <w:ilvl w:val="0"/>
                <w:numId w:val="21"/>
              </w:numPr>
              <w:spacing w:after="0" w:line="240" w:lineRule="auto"/>
              <w:rPr>
                <w:rFonts w:ascii="Times New Roman" w:eastAsia="Times New Roman" w:hAnsi="Times New Roman" w:cs="Times New Roman"/>
                <w:sz w:val="24"/>
                <w:szCs w:val="24"/>
              </w:rPr>
            </w:pPr>
            <w:r w:rsidRPr="00F1405A">
              <w:rPr>
                <w:rFonts w:ascii="Times New Roman" w:eastAsia="Times New Roman" w:hAnsi="Times New Roman" w:cs="Times New Roman"/>
                <w:sz w:val="24"/>
                <w:szCs w:val="24"/>
              </w:rPr>
              <w:t>Mobile responsiveness</w:t>
            </w:r>
          </w:p>
        </w:tc>
        <w:tc>
          <w:tcPr>
            <w:tcW w:w="0" w:type="auto"/>
            <w:vAlign w:val="center"/>
            <w:hideMark/>
          </w:tcPr>
          <w:p w14:paraId="421F5987"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b/>
                <w:bCs/>
                <w:sz w:val="24"/>
                <w:szCs w:val="24"/>
              </w:rPr>
            </w:pPr>
          </w:p>
        </w:tc>
      </w:tr>
      <w:tr w:rsidR="005F3C89" w:rsidRPr="005F3C89" w14:paraId="46E00649" w14:textId="77777777" w:rsidTr="00D90479">
        <w:trPr>
          <w:tblCellSpacing w:w="15" w:type="dxa"/>
        </w:trPr>
        <w:tc>
          <w:tcPr>
            <w:tcW w:w="0" w:type="auto"/>
            <w:vAlign w:val="center"/>
            <w:hideMark/>
          </w:tcPr>
          <w:p w14:paraId="5357CD79" w14:textId="77777777" w:rsidR="005F3C89" w:rsidRPr="00F1405A" w:rsidRDefault="005F3C89" w:rsidP="00F1405A">
            <w:pPr>
              <w:pStyle w:val="ListParagraph"/>
              <w:numPr>
                <w:ilvl w:val="0"/>
                <w:numId w:val="21"/>
              </w:numPr>
              <w:spacing w:after="0" w:line="240" w:lineRule="auto"/>
              <w:rPr>
                <w:rFonts w:ascii="Times New Roman" w:eastAsia="Times New Roman" w:hAnsi="Times New Roman" w:cs="Times New Roman"/>
                <w:sz w:val="24"/>
                <w:szCs w:val="24"/>
              </w:rPr>
            </w:pPr>
            <w:r w:rsidRPr="00F1405A">
              <w:rPr>
                <w:rFonts w:ascii="Times New Roman" w:eastAsia="Times New Roman" w:hAnsi="Times New Roman" w:cs="Times New Roman"/>
                <w:sz w:val="24"/>
                <w:szCs w:val="24"/>
              </w:rPr>
              <w:t>Patient login requirements</w:t>
            </w:r>
          </w:p>
        </w:tc>
        <w:tc>
          <w:tcPr>
            <w:tcW w:w="0" w:type="auto"/>
            <w:vAlign w:val="center"/>
            <w:hideMark/>
          </w:tcPr>
          <w:p w14:paraId="6A728833"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b/>
                <w:bCs/>
                <w:sz w:val="24"/>
                <w:szCs w:val="24"/>
              </w:rPr>
            </w:pPr>
          </w:p>
        </w:tc>
      </w:tr>
      <w:tr w:rsidR="005F3C89" w:rsidRPr="005F3C89" w14:paraId="68FDA1D0" w14:textId="77777777" w:rsidTr="00D90479">
        <w:trPr>
          <w:tblCellSpacing w:w="15" w:type="dxa"/>
        </w:trPr>
        <w:tc>
          <w:tcPr>
            <w:tcW w:w="0" w:type="auto"/>
            <w:vAlign w:val="center"/>
            <w:hideMark/>
          </w:tcPr>
          <w:p w14:paraId="1B5DFEBB" w14:textId="77777777" w:rsidR="005F3C89" w:rsidRPr="00F1405A" w:rsidRDefault="005F3C89" w:rsidP="00F1405A">
            <w:pPr>
              <w:pStyle w:val="ListParagraph"/>
              <w:numPr>
                <w:ilvl w:val="0"/>
                <w:numId w:val="21"/>
              </w:numPr>
              <w:spacing w:after="0" w:line="240" w:lineRule="auto"/>
              <w:rPr>
                <w:rFonts w:ascii="Times New Roman" w:eastAsia="Times New Roman" w:hAnsi="Times New Roman" w:cs="Times New Roman"/>
                <w:sz w:val="24"/>
                <w:szCs w:val="24"/>
              </w:rPr>
            </w:pPr>
            <w:r w:rsidRPr="00F1405A">
              <w:rPr>
                <w:rFonts w:ascii="Times New Roman" w:eastAsia="Times New Roman" w:hAnsi="Times New Roman" w:cs="Times New Roman"/>
                <w:sz w:val="24"/>
                <w:szCs w:val="24"/>
              </w:rPr>
              <w:t>Language support</w:t>
            </w:r>
          </w:p>
        </w:tc>
        <w:tc>
          <w:tcPr>
            <w:tcW w:w="0" w:type="auto"/>
            <w:vAlign w:val="center"/>
            <w:hideMark/>
          </w:tcPr>
          <w:p w14:paraId="0002081B"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b/>
                <w:bCs/>
                <w:sz w:val="24"/>
                <w:szCs w:val="24"/>
              </w:rPr>
            </w:pPr>
          </w:p>
        </w:tc>
      </w:tr>
      <w:tr w:rsidR="005F3C89" w:rsidRPr="005F3C89" w14:paraId="6C4E714C" w14:textId="77777777" w:rsidTr="00D90479">
        <w:trPr>
          <w:tblCellSpacing w:w="15" w:type="dxa"/>
        </w:trPr>
        <w:tc>
          <w:tcPr>
            <w:tcW w:w="0" w:type="auto"/>
            <w:vAlign w:val="center"/>
            <w:hideMark/>
          </w:tcPr>
          <w:p w14:paraId="653596A2" w14:textId="77777777" w:rsidR="005F3C89" w:rsidRPr="00F1405A" w:rsidRDefault="005F3C89" w:rsidP="00F1405A">
            <w:pPr>
              <w:pStyle w:val="ListParagraph"/>
              <w:numPr>
                <w:ilvl w:val="0"/>
                <w:numId w:val="21"/>
              </w:numPr>
              <w:spacing w:after="0" w:line="240" w:lineRule="auto"/>
              <w:rPr>
                <w:rFonts w:ascii="Times New Roman" w:eastAsia="Times New Roman" w:hAnsi="Times New Roman" w:cs="Times New Roman"/>
                <w:sz w:val="24"/>
                <w:szCs w:val="24"/>
              </w:rPr>
            </w:pPr>
            <w:r w:rsidRPr="00F1405A">
              <w:rPr>
                <w:rFonts w:ascii="Times New Roman" w:eastAsia="Times New Roman" w:hAnsi="Times New Roman" w:cs="Times New Roman"/>
                <w:sz w:val="24"/>
                <w:szCs w:val="24"/>
              </w:rPr>
              <w:t>ADA / accessibility compliance</w:t>
            </w:r>
          </w:p>
        </w:tc>
        <w:tc>
          <w:tcPr>
            <w:tcW w:w="0" w:type="auto"/>
            <w:vAlign w:val="center"/>
            <w:hideMark/>
          </w:tcPr>
          <w:p w14:paraId="53E0A608"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b/>
                <w:bCs/>
                <w:sz w:val="24"/>
                <w:szCs w:val="24"/>
              </w:rPr>
            </w:pPr>
          </w:p>
        </w:tc>
      </w:tr>
      <w:tr w:rsidR="005F3C89" w:rsidRPr="005F3C89" w14:paraId="4AC4663C" w14:textId="77777777" w:rsidTr="00D90479">
        <w:trPr>
          <w:tblCellSpacing w:w="15" w:type="dxa"/>
        </w:trPr>
        <w:tc>
          <w:tcPr>
            <w:tcW w:w="0" w:type="auto"/>
            <w:vAlign w:val="center"/>
            <w:hideMark/>
          </w:tcPr>
          <w:p w14:paraId="185D5C22" w14:textId="77777777" w:rsidR="005F3C89" w:rsidRPr="00F1405A" w:rsidRDefault="005F3C89" w:rsidP="00F1405A">
            <w:pPr>
              <w:pStyle w:val="ListParagraph"/>
              <w:numPr>
                <w:ilvl w:val="0"/>
                <w:numId w:val="21"/>
              </w:numPr>
              <w:spacing w:after="0" w:line="240" w:lineRule="auto"/>
              <w:rPr>
                <w:rFonts w:ascii="Times New Roman" w:eastAsia="Times New Roman" w:hAnsi="Times New Roman" w:cs="Times New Roman"/>
                <w:sz w:val="24"/>
                <w:szCs w:val="24"/>
              </w:rPr>
            </w:pPr>
            <w:r w:rsidRPr="00F1405A">
              <w:rPr>
                <w:rFonts w:ascii="Times New Roman" w:eastAsia="Times New Roman" w:hAnsi="Times New Roman" w:cs="Times New Roman"/>
                <w:sz w:val="24"/>
                <w:szCs w:val="24"/>
              </w:rPr>
              <w:t>Custom branding options</w:t>
            </w:r>
          </w:p>
        </w:tc>
        <w:tc>
          <w:tcPr>
            <w:tcW w:w="0" w:type="auto"/>
            <w:vAlign w:val="center"/>
            <w:hideMark/>
          </w:tcPr>
          <w:p w14:paraId="50A45101"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b/>
                <w:bCs/>
                <w:sz w:val="24"/>
                <w:szCs w:val="24"/>
              </w:rPr>
            </w:pPr>
          </w:p>
        </w:tc>
      </w:tr>
      <w:tr w:rsidR="005F3C89" w:rsidRPr="005F3C89" w14:paraId="0076DAC3" w14:textId="77777777" w:rsidTr="00D90479">
        <w:trPr>
          <w:tblCellSpacing w:w="15" w:type="dxa"/>
        </w:trPr>
        <w:tc>
          <w:tcPr>
            <w:tcW w:w="0" w:type="auto"/>
            <w:vAlign w:val="center"/>
            <w:hideMark/>
          </w:tcPr>
          <w:p w14:paraId="6B92E196" w14:textId="77777777" w:rsidR="005F3C89" w:rsidRPr="00F1405A" w:rsidRDefault="005F3C89" w:rsidP="00F1405A">
            <w:pPr>
              <w:pStyle w:val="ListParagraph"/>
              <w:numPr>
                <w:ilvl w:val="0"/>
                <w:numId w:val="21"/>
              </w:numPr>
              <w:spacing w:after="0" w:line="240" w:lineRule="auto"/>
              <w:rPr>
                <w:rFonts w:ascii="Times New Roman" w:eastAsia="Times New Roman" w:hAnsi="Times New Roman" w:cs="Times New Roman"/>
                <w:sz w:val="24"/>
                <w:szCs w:val="24"/>
              </w:rPr>
            </w:pPr>
            <w:r w:rsidRPr="00F1405A">
              <w:rPr>
                <w:rFonts w:ascii="Times New Roman" w:eastAsia="Times New Roman" w:hAnsi="Times New Roman" w:cs="Times New Roman"/>
                <w:sz w:val="24"/>
                <w:szCs w:val="24"/>
              </w:rPr>
              <w:lastRenderedPageBreak/>
              <w:t>Patient satisfaction measurement</w:t>
            </w:r>
          </w:p>
        </w:tc>
        <w:tc>
          <w:tcPr>
            <w:tcW w:w="0" w:type="auto"/>
            <w:vAlign w:val="center"/>
            <w:hideMark/>
          </w:tcPr>
          <w:p w14:paraId="7CE536DE"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b/>
                <w:bCs/>
                <w:sz w:val="24"/>
                <w:szCs w:val="24"/>
              </w:rPr>
            </w:pPr>
          </w:p>
        </w:tc>
      </w:tr>
    </w:tbl>
    <w:p w14:paraId="6AB324E8"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b/>
          <w:bCs/>
          <w:sz w:val="24"/>
          <w:szCs w:val="24"/>
        </w:rPr>
      </w:pPr>
      <w:r w:rsidRPr="005F3C89">
        <w:rPr>
          <w:rFonts w:ascii="Times New Roman" w:eastAsia="Times New Roman" w:hAnsi="Times New Roman" w:cs="Times New Roman"/>
          <w:b/>
          <w:bCs/>
          <w:sz w:val="24"/>
          <w:szCs w:val="24"/>
        </w:rPr>
        <w:pict w14:anchorId="7702FEC0">
          <v:rect id="_x0000_i1029" style="width:0;height:1.5pt" o:hralign="center" o:hrstd="t" o:hr="t" fillcolor="#a0a0a0" stroked="f"/>
        </w:pict>
      </w:r>
    </w:p>
    <w:p w14:paraId="759BCFB7" w14:textId="6A0BC676" w:rsidR="005F3C89" w:rsidRPr="005F3C89" w:rsidRDefault="005F3C89" w:rsidP="005F3C89">
      <w:pPr>
        <w:spacing w:after="0" w:line="240" w:lineRule="auto"/>
        <w:rPr>
          <w:rFonts w:ascii="Times New Roman" w:eastAsia="Times New Roman" w:hAnsi="Times New Roman" w:cs="Times New Roman"/>
          <w:b/>
          <w:bCs/>
          <w:sz w:val="24"/>
          <w:szCs w:val="24"/>
        </w:rPr>
      </w:pPr>
      <w:r w:rsidRPr="005F3C89">
        <w:rPr>
          <w:rFonts w:ascii="Times New Roman" w:eastAsia="Times New Roman" w:hAnsi="Times New Roman" w:cs="Times New Roman"/>
          <w:b/>
          <w:bCs/>
          <w:sz w:val="24"/>
          <w:szCs w:val="24"/>
        </w:rPr>
        <w:t>Reporting, Analytics &amp; Outcomes</w:t>
      </w:r>
    </w:p>
    <w:p w14:paraId="757C9950" w14:textId="77777777" w:rsidR="005F3C89" w:rsidRPr="005F3C89" w:rsidRDefault="005F3C89" w:rsidP="005F3C89">
      <w:pPr>
        <w:spacing w:after="0"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Describe reporting and performance tracking available.</w:t>
      </w:r>
    </w:p>
    <w:p w14:paraId="48127963" w14:textId="77777777" w:rsidR="005F3C89" w:rsidRPr="005F3C89" w:rsidRDefault="005F3C89" w:rsidP="005F3C8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Appointment utilization</w:t>
      </w:r>
    </w:p>
    <w:p w14:paraId="07C7B764" w14:textId="77777777" w:rsidR="005F3C89" w:rsidRPr="005F3C89" w:rsidRDefault="005F3C89" w:rsidP="005F3C8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No</w:t>
      </w:r>
      <w:r w:rsidRPr="005F3C89">
        <w:rPr>
          <w:rFonts w:ascii="Times New Roman" w:eastAsia="Times New Roman" w:hAnsi="Times New Roman" w:cs="Times New Roman"/>
          <w:sz w:val="24"/>
          <w:szCs w:val="24"/>
        </w:rPr>
        <w:noBreakHyphen/>
        <w:t>show rates</w:t>
      </w:r>
    </w:p>
    <w:p w14:paraId="13D32470" w14:textId="77777777" w:rsidR="005F3C89" w:rsidRPr="005F3C89" w:rsidRDefault="005F3C89" w:rsidP="005F3C8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Waitlist conversion</w:t>
      </w:r>
    </w:p>
    <w:p w14:paraId="26299D81" w14:textId="77777777" w:rsidR="005F3C89" w:rsidRPr="005F3C89" w:rsidRDefault="005F3C89" w:rsidP="005F3C8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Patient adoption of self</w:t>
      </w:r>
      <w:r w:rsidRPr="005F3C89">
        <w:rPr>
          <w:rFonts w:ascii="Times New Roman" w:eastAsia="Times New Roman" w:hAnsi="Times New Roman" w:cs="Times New Roman"/>
          <w:sz w:val="24"/>
          <w:szCs w:val="24"/>
        </w:rPr>
        <w:noBreakHyphen/>
        <w:t>scheduling</w:t>
      </w:r>
    </w:p>
    <w:p w14:paraId="258C15E9" w14:textId="77777777" w:rsidR="005F3C89" w:rsidRPr="005F3C89" w:rsidRDefault="005F3C89" w:rsidP="005F3C8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Front desk efficiency metrics</w:t>
      </w:r>
    </w:p>
    <w:p w14:paraId="234BA084" w14:textId="737AAD3A" w:rsidR="005F3C89" w:rsidRPr="005F3C89" w:rsidRDefault="005F3C89" w:rsidP="005F3C8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 xml:space="preserve">User workflow metrics – i.e. how many users started their appt process, progress, abandonment and completion. </w:t>
      </w:r>
    </w:p>
    <w:p w14:paraId="355BC93C" w14:textId="51D99FE3" w:rsidR="005F3C89" w:rsidRPr="005F3C89" w:rsidRDefault="005F3C89" w:rsidP="005F3C89">
      <w:pPr>
        <w:spacing w:before="100" w:beforeAutospacing="1" w:after="100" w:afterAutospacing="1" w:line="240" w:lineRule="auto"/>
        <w:rPr>
          <w:rFonts w:ascii="Times New Roman" w:eastAsia="Times New Roman" w:hAnsi="Times New Roman" w:cs="Times New Roman"/>
          <w:b/>
          <w:bCs/>
          <w:sz w:val="24"/>
          <w:szCs w:val="24"/>
        </w:rPr>
      </w:pPr>
      <w:r w:rsidRPr="005F3C89">
        <w:rPr>
          <w:rFonts w:ascii="Times New Roman" w:eastAsia="Times New Roman" w:hAnsi="Times New Roman" w:cs="Times New Roman"/>
          <w:b/>
          <w:bCs/>
          <w:sz w:val="24"/>
          <w:szCs w:val="24"/>
        </w:rPr>
        <w:t>Please indicate whether reports are:</w:t>
      </w:r>
      <w:r w:rsidRPr="005F3C89">
        <w:rPr>
          <w:rFonts w:ascii="Times New Roman" w:eastAsia="Times New Roman" w:hAnsi="Times New Roman" w:cs="Times New Roman"/>
          <w:b/>
          <w:bCs/>
          <w:sz w:val="24"/>
          <w:szCs w:val="24"/>
        </w:rPr>
        <w:br/>
      </w:r>
      <w:r w:rsidRPr="005F3C89">
        <w:rPr>
          <w:rFonts w:ascii="Segoe UI Symbol" w:eastAsia="Times New Roman" w:hAnsi="Segoe UI Symbol" w:cs="Segoe UI Symbol"/>
          <w:sz w:val="24"/>
          <w:szCs w:val="24"/>
        </w:rPr>
        <w:t>☐</w:t>
      </w:r>
      <w:r w:rsidRPr="005F3C89">
        <w:rPr>
          <w:rFonts w:ascii="Times New Roman" w:eastAsia="Times New Roman" w:hAnsi="Times New Roman" w:cs="Times New Roman"/>
          <w:sz w:val="24"/>
          <w:szCs w:val="24"/>
        </w:rPr>
        <w:t xml:space="preserve"> Standard </w:t>
      </w:r>
      <w:r w:rsidRPr="005F3C89">
        <w:rPr>
          <w:rFonts w:ascii="Segoe UI Symbol" w:eastAsia="Times New Roman" w:hAnsi="Segoe UI Symbol" w:cs="Segoe UI Symbol"/>
          <w:sz w:val="24"/>
          <w:szCs w:val="24"/>
        </w:rPr>
        <w:t>☐</w:t>
      </w:r>
      <w:r w:rsidRPr="005F3C89">
        <w:rPr>
          <w:rFonts w:ascii="Times New Roman" w:eastAsia="Times New Roman" w:hAnsi="Times New Roman" w:cs="Times New Roman"/>
          <w:sz w:val="24"/>
          <w:szCs w:val="24"/>
        </w:rPr>
        <w:t xml:space="preserve"> Configurable </w:t>
      </w:r>
      <w:r w:rsidRPr="005F3C89">
        <w:rPr>
          <w:rFonts w:ascii="Segoe UI Symbol" w:eastAsia="Times New Roman" w:hAnsi="Segoe UI Symbol" w:cs="Segoe UI Symbol"/>
          <w:sz w:val="24"/>
          <w:szCs w:val="24"/>
        </w:rPr>
        <w:t>☐</w:t>
      </w:r>
      <w:r w:rsidRPr="005F3C89">
        <w:rPr>
          <w:rFonts w:ascii="Times New Roman" w:eastAsia="Times New Roman" w:hAnsi="Times New Roman" w:cs="Times New Roman"/>
          <w:sz w:val="24"/>
          <w:szCs w:val="24"/>
        </w:rPr>
        <w:t xml:space="preserve"> Exportable </w:t>
      </w:r>
      <w:r w:rsidRPr="005F3C89">
        <w:rPr>
          <w:rFonts w:ascii="Segoe UI Symbol" w:eastAsia="Times New Roman" w:hAnsi="Segoe UI Symbol" w:cs="Segoe UI Symbol"/>
          <w:sz w:val="24"/>
          <w:szCs w:val="24"/>
        </w:rPr>
        <w:t>☐</w:t>
      </w:r>
      <w:r w:rsidRPr="005F3C89">
        <w:rPr>
          <w:rFonts w:ascii="Times New Roman" w:eastAsia="Times New Roman" w:hAnsi="Times New Roman" w:cs="Times New Roman"/>
          <w:sz w:val="24"/>
          <w:szCs w:val="24"/>
        </w:rPr>
        <w:t xml:space="preserve"> Dashboard</w:t>
      </w:r>
      <w:r w:rsidRPr="005F3C89">
        <w:rPr>
          <w:rFonts w:ascii="Times New Roman" w:eastAsia="Times New Roman" w:hAnsi="Times New Roman" w:cs="Times New Roman"/>
          <w:sz w:val="24"/>
          <w:szCs w:val="24"/>
        </w:rPr>
        <w:noBreakHyphen/>
        <w:t>based</w:t>
      </w:r>
    </w:p>
    <w:p w14:paraId="1D43D7D8" w14:textId="16E7C7E5" w:rsidR="005F3C89" w:rsidRPr="005F3C89" w:rsidRDefault="005F3C89" w:rsidP="005F3C89">
      <w:pPr>
        <w:spacing w:before="100" w:beforeAutospacing="1" w:after="100" w:afterAutospacing="1" w:line="240" w:lineRule="auto"/>
        <w:rPr>
          <w:rFonts w:ascii="Times New Roman" w:eastAsia="Times New Roman" w:hAnsi="Times New Roman" w:cs="Times New Roman"/>
          <w:b/>
          <w:bCs/>
          <w:sz w:val="24"/>
          <w:szCs w:val="24"/>
        </w:rPr>
      </w:pPr>
      <w:r w:rsidRPr="005F3C89">
        <w:rPr>
          <w:rFonts w:ascii="Times New Roman" w:eastAsia="Times New Roman" w:hAnsi="Times New Roman" w:cs="Times New Roman"/>
          <w:b/>
          <w:bCs/>
          <w:sz w:val="24"/>
          <w:szCs w:val="24"/>
        </w:rPr>
        <w:t>Implementation, Support &amp; Governance</w:t>
      </w:r>
    </w:p>
    <w:p w14:paraId="4EBC332A" w14:textId="77777777" w:rsidR="005F3C89" w:rsidRPr="005F3C89" w:rsidRDefault="005F3C89" w:rsidP="00F1405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Typical implementation timeline</w:t>
      </w:r>
    </w:p>
    <w:p w14:paraId="2503A6DB" w14:textId="77777777" w:rsidR="005F3C89" w:rsidRPr="005F3C89" w:rsidRDefault="005F3C89" w:rsidP="00F1405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Client responsibilities vs. vendor responsibilities</w:t>
      </w:r>
    </w:p>
    <w:p w14:paraId="1824D5CF" w14:textId="77777777" w:rsidR="005F3C89" w:rsidRPr="005F3C89" w:rsidRDefault="005F3C89" w:rsidP="00F1405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Training approach (virtual, on</w:t>
      </w:r>
      <w:r w:rsidRPr="005F3C89">
        <w:rPr>
          <w:rFonts w:ascii="Times New Roman" w:eastAsia="Times New Roman" w:hAnsi="Times New Roman" w:cs="Times New Roman"/>
          <w:sz w:val="24"/>
          <w:szCs w:val="24"/>
        </w:rPr>
        <w:noBreakHyphen/>
        <w:t>site, self</w:t>
      </w:r>
      <w:r w:rsidRPr="005F3C89">
        <w:rPr>
          <w:rFonts w:ascii="Times New Roman" w:eastAsia="Times New Roman" w:hAnsi="Times New Roman" w:cs="Times New Roman"/>
          <w:sz w:val="24"/>
          <w:szCs w:val="24"/>
        </w:rPr>
        <w:noBreakHyphen/>
        <w:t>guided)</w:t>
      </w:r>
    </w:p>
    <w:p w14:paraId="582B2D28" w14:textId="77777777" w:rsidR="005F3C89" w:rsidRPr="005F3C89" w:rsidRDefault="005F3C89" w:rsidP="00F1405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Ongoing support model &amp; SLAs</w:t>
      </w:r>
    </w:p>
    <w:p w14:paraId="0B7031E6" w14:textId="77777777" w:rsidR="005F3C89" w:rsidRPr="005F3C89" w:rsidRDefault="005F3C89" w:rsidP="00F1405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Product roadmap highlights (next 12–24 months)</w:t>
      </w:r>
    </w:p>
    <w:p w14:paraId="6A36FA47"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b/>
          <w:bCs/>
          <w:sz w:val="24"/>
          <w:szCs w:val="24"/>
        </w:rPr>
      </w:pPr>
      <w:r w:rsidRPr="005F3C89">
        <w:rPr>
          <w:rFonts w:ascii="Times New Roman" w:eastAsia="Times New Roman" w:hAnsi="Times New Roman" w:cs="Times New Roman"/>
          <w:b/>
          <w:bCs/>
          <w:sz w:val="24"/>
          <w:szCs w:val="24"/>
        </w:rPr>
        <w:pict w14:anchorId="5419D138">
          <v:rect id="_x0000_i1031" style="width:0;height:1.5pt" o:hralign="center" o:hrstd="t" o:hr="t" fillcolor="#a0a0a0" stroked="f"/>
        </w:pict>
      </w:r>
    </w:p>
    <w:p w14:paraId="5A2C58B2" w14:textId="450BDD4A" w:rsidR="005F3C89" w:rsidRPr="005F3C89" w:rsidRDefault="005F3C89" w:rsidP="005F3C89">
      <w:pPr>
        <w:spacing w:before="100" w:beforeAutospacing="1" w:after="100" w:afterAutospacing="1" w:line="240" w:lineRule="auto"/>
        <w:rPr>
          <w:rFonts w:ascii="Times New Roman" w:eastAsia="Times New Roman" w:hAnsi="Times New Roman" w:cs="Times New Roman"/>
          <w:b/>
          <w:bCs/>
          <w:sz w:val="24"/>
          <w:szCs w:val="24"/>
        </w:rPr>
      </w:pPr>
      <w:r w:rsidRPr="005F3C89">
        <w:rPr>
          <w:rFonts w:ascii="Times New Roman" w:eastAsia="Times New Roman" w:hAnsi="Times New Roman" w:cs="Times New Roman"/>
          <w:b/>
          <w:bCs/>
          <w:sz w:val="24"/>
          <w:szCs w:val="24"/>
        </w:rPr>
        <w:t>Security, Privacy &amp; Compliance</w:t>
      </w:r>
    </w:p>
    <w:p w14:paraId="38895A3D" w14:textId="2D6EC138"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 xml:space="preserve">Please </w:t>
      </w:r>
      <w:r w:rsidR="00F1405A" w:rsidRPr="00286D77">
        <w:rPr>
          <w:rFonts w:ascii="Times New Roman" w:eastAsia="Times New Roman" w:hAnsi="Times New Roman" w:cs="Times New Roman"/>
          <w:sz w:val="24"/>
          <w:szCs w:val="24"/>
        </w:rPr>
        <w:t>review and address all items in Exhibit A</w:t>
      </w:r>
      <w:r w:rsidR="00286D77" w:rsidRPr="00286D77">
        <w:rPr>
          <w:rFonts w:ascii="Times New Roman" w:eastAsia="Times New Roman" w:hAnsi="Times New Roman" w:cs="Times New Roman"/>
          <w:sz w:val="24"/>
          <w:szCs w:val="24"/>
        </w:rPr>
        <w:t xml:space="preserve"> – indicating any issues, concerns or inability to meet requirements. </w:t>
      </w:r>
    </w:p>
    <w:p w14:paraId="0857BAF1" w14:textId="2A687AC0" w:rsidR="005F3C89" w:rsidRPr="005F3C89" w:rsidRDefault="005F3C89" w:rsidP="005F3C89">
      <w:pPr>
        <w:spacing w:before="100" w:beforeAutospacing="1" w:after="100" w:afterAutospacing="1" w:line="240" w:lineRule="auto"/>
        <w:rPr>
          <w:rFonts w:ascii="Times New Roman" w:eastAsia="Times New Roman" w:hAnsi="Times New Roman" w:cs="Times New Roman"/>
          <w:b/>
          <w:bCs/>
          <w:sz w:val="24"/>
          <w:szCs w:val="24"/>
        </w:rPr>
      </w:pPr>
      <w:r w:rsidRPr="005F3C89">
        <w:rPr>
          <w:rFonts w:ascii="Times New Roman" w:eastAsia="Times New Roman" w:hAnsi="Times New Roman" w:cs="Times New Roman"/>
          <w:b/>
          <w:bCs/>
          <w:sz w:val="24"/>
          <w:szCs w:val="24"/>
        </w:rPr>
        <w:t>Commercial &amp; Pricing Model (High</w:t>
      </w:r>
      <w:r w:rsidRPr="005F3C89">
        <w:rPr>
          <w:rFonts w:ascii="Times New Roman" w:eastAsia="Times New Roman" w:hAnsi="Times New Roman" w:cs="Times New Roman"/>
          <w:b/>
          <w:bCs/>
          <w:sz w:val="24"/>
          <w:szCs w:val="24"/>
        </w:rPr>
        <w:noBreakHyphen/>
        <w:t>Level)</w:t>
      </w:r>
    </w:p>
    <w:p w14:paraId="28AB6ECB"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Do not provide pricing quotes, but describe your typical model:</w:t>
      </w:r>
    </w:p>
    <w:p w14:paraId="53C620E9" w14:textId="77777777" w:rsidR="005F3C89" w:rsidRPr="005F3C89" w:rsidRDefault="005F3C89" w:rsidP="005F3C8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Pricing basis (per provider, per clinic, per appointment, platform fee)</w:t>
      </w:r>
    </w:p>
    <w:p w14:paraId="72E96934" w14:textId="77777777" w:rsidR="005F3C89" w:rsidRPr="005F3C89" w:rsidRDefault="005F3C89" w:rsidP="005F3C8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One</w:t>
      </w:r>
      <w:r w:rsidRPr="005F3C89">
        <w:rPr>
          <w:rFonts w:ascii="Times New Roman" w:eastAsia="Times New Roman" w:hAnsi="Times New Roman" w:cs="Times New Roman"/>
          <w:sz w:val="24"/>
          <w:szCs w:val="24"/>
        </w:rPr>
        <w:noBreakHyphen/>
        <w:t>time vs. recurring costs</w:t>
      </w:r>
    </w:p>
    <w:p w14:paraId="7F75D291" w14:textId="77777777" w:rsidR="005F3C89" w:rsidRPr="005F3C89" w:rsidRDefault="005F3C89" w:rsidP="005F3C8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Implementation or integration fees</w:t>
      </w:r>
    </w:p>
    <w:p w14:paraId="5D3BAEBE" w14:textId="0220D816" w:rsidR="005F3C89" w:rsidRPr="005F3C89" w:rsidRDefault="005F3C89" w:rsidP="005F3C8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Contract length options</w:t>
      </w:r>
    </w:p>
    <w:p w14:paraId="55AB85F0" w14:textId="621483CE" w:rsidR="005F3C89" w:rsidRPr="005F3C89" w:rsidRDefault="005F3C89" w:rsidP="005F3C89">
      <w:pPr>
        <w:spacing w:before="100" w:beforeAutospacing="1" w:after="100" w:afterAutospacing="1" w:line="240" w:lineRule="auto"/>
        <w:rPr>
          <w:rFonts w:ascii="Times New Roman" w:eastAsia="Times New Roman" w:hAnsi="Times New Roman" w:cs="Times New Roman"/>
          <w:b/>
          <w:bCs/>
          <w:sz w:val="24"/>
          <w:szCs w:val="24"/>
        </w:rPr>
      </w:pPr>
      <w:r w:rsidRPr="005F3C89">
        <w:rPr>
          <w:rFonts w:ascii="Times New Roman" w:eastAsia="Times New Roman" w:hAnsi="Times New Roman" w:cs="Times New Roman"/>
          <w:b/>
          <w:bCs/>
          <w:sz w:val="24"/>
          <w:szCs w:val="24"/>
        </w:rPr>
        <w:t>Client Experience &amp; References</w:t>
      </w:r>
    </w:p>
    <w:p w14:paraId="303E3D01" w14:textId="77777777" w:rsidR="005F3C89" w:rsidRPr="005F3C89" w:rsidRDefault="005F3C89" w:rsidP="00F1405A">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Number of ambulatory clients similar in size/complexity</w:t>
      </w:r>
    </w:p>
    <w:p w14:paraId="5EB709A8" w14:textId="77777777" w:rsidR="005F3C89" w:rsidRPr="005F3C89" w:rsidRDefault="005F3C89" w:rsidP="00F1405A">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lastRenderedPageBreak/>
        <w:t>Referenceable clients (optional)</w:t>
      </w:r>
    </w:p>
    <w:p w14:paraId="2EFA5803" w14:textId="77777777" w:rsidR="005F3C89" w:rsidRPr="005F3C89" w:rsidRDefault="005F3C89" w:rsidP="00F1405A">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Common reasons clients select your solution</w:t>
      </w:r>
    </w:p>
    <w:p w14:paraId="550F26BB" w14:textId="77777777" w:rsidR="005F3C89" w:rsidRPr="005F3C89" w:rsidRDefault="005F3C89" w:rsidP="00F1405A">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Common reasons clients do not select your solution</w:t>
      </w:r>
    </w:p>
    <w:p w14:paraId="414DC440" w14:textId="5DF7213C" w:rsidR="005F3C89" w:rsidRPr="005F3C89" w:rsidRDefault="005F3C89" w:rsidP="005F3C89">
      <w:pPr>
        <w:spacing w:before="100" w:beforeAutospacing="1" w:after="100" w:afterAutospacing="1" w:line="240" w:lineRule="auto"/>
        <w:rPr>
          <w:rFonts w:ascii="Times New Roman" w:eastAsia="Times New Roman" w:hAnsi="Times New Roman" w:cs="Times New Roman"/>
          <w:b/>
          <w:bCs/>
          <w:sz w:val="24"/>
          <w:szCs w:val="24"/>
        </w:rPr>
      </w:pPr>
    </w:p>
    <w:p w14:paraId="5F6EAFCD" w14:textId="138EB1AE" w:rsidR="005F3C89" w:rsidRPr="005F3C89" w:rsidRDefault="005F3C89" w:rsidP="005F3C89">
      <w:pPr>
        <w:spacing w:before="100" w:beforeAutospacing="1" w:after="100" w:afterAutospacing="1" w:line="240" w:lineRule="auto"/>
        <w:rPr>
          <w:rFonts w:ascii="Times New Roman" w:eastAsia="Times New Roman" w:hAnsi="Times New Roman" w:cs="Times New Roman"/>
          <w:b/>
          <w:bCs/>
          <w:sz w:val="24"/>
          <w:szCs w:val="24"/>
        </w:rPr>
      </w:pPr>
      <w:r w:rsidRPr="005F3C89">
        <w:rPr>
          <w:rFonts w:ascii="Times New Roman" w:eastAsia="Times New Roman" w:hAnsi="Times New Roman" w:cs="Times New Roman"/>
          <w:b/>
          <w:bCs/>
          <w:sz w:val="24"/>
          <w:szCs w:val="24"/>
        </w:rPr>
        <w:t>Additional Information</w:t>
      </w:r>
    </w:p>
    <w:p w14:paraId="345B4289" w14:textId="77777777" w:rsidR="005F3C89" w:rsidRPr="005F3C89" w:rsidRDefault="005F3C89" w:rsidP="005F3C89">
      <w:pPr>
        <w:spacing w:before="100" w:beforeAutospacing="1" w:after="100" w:afterAutospacing="1"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Please include any differentiators, innovations, or considerations you believe are relevant to ambulatory scheduling in complex health systems.</w:t>
      </w:r>
    </w:p>
    <w:p w14:paraId="3D7A68FE" w14:textId="644324EB" w:rsidR="005F3C89" w:rsidRPr="00F1405A" w:rsidRDefault="005F3C89" w:rsidP="000A62CE">
      <w:pPr>
        <w:spacing w:before="100" w:beforeAutospacing="1" w:after="100" w:afterAutospacing="1" w:line="240" w:lineRule="auto"/>
        <w:rPr>
          <w:rFonts w:ascii="Times New Roman" w:eastAsia="Times New Roman" w:hAnsi="Times New Roman" w:cs="Times New Roman"/>
          <w:sz w:val="24"/>
          <w:szCs w:val="24"/>
        </w:rPr>
      </w:pPr>
      <w:r w:rsidRPr="005F3C89">
        <w:rPr>
          <w:rFonts w:ascii="Times New Roman" w:eastAsia="Times New Roman" w:hAnsi="Times New Roman" w:cs="Times New Roman"/>
          <w:sz w:val="24"/>
          <w:szCs w:val="24"/>
        </w:rPr>
        <w:t xml:space="preserve">Include other features that would </w:t>
      </w:r>
      <w:r w:rsidR="00F1405A" w:rsidRPr="00F1405A">
        <w:rPr>
          <w:rFonts w:ascii="Times New Roman" w:eastAsia="Times New Roman" w:hAnsi="Times New Roman" w:cs="Times New Roman"/>
          <w:sz w:val="24"/>
          <w:szCs w:val="24"/>
        </w:rPr>
        <w:t>complement</w:t>
      </w:r>
      <w:r w:rsidRPr="005F3C89">
        <w:rPr>
          <w:rFonts w:ascii="Times New Roman" w:eastAsia="Times New Roman" w:hAnsi="Times New Roman" w:cs="Times New Roman"/>
          <w:sz w:val="24"/>
          <w:szCs w:val="24"/>
        </w:rPr>
        <w:t xml:space="preserve"> the user scheduling experience. </w:t>
      </w:r>
    </w:p>
    <w:p w14:paraId="13F382FC" w14:textId="0A06EF77" w:rsidR="000A62CE" w:rsidRPr="000A62CE" w:rsidRDefault="000A62CE" w:rsidP="000A62CE">
      <w:pPr>
        <w:spacing w:before="100" w:beforeAutospacing="1" w:after="100" w:afterAutospacing="1" w:line="240" w:lineRule="auto"/>
        <w:rPr>
          <w:rFonts w:ascii="Times New Roman" w:eastAsia="Times New Roman" w:hAnsi="Times New Roman" w:cs="Times New Roman"/>
          <w:sz w:val="24"/>
          <w:szCs w:val="24"/>
        </w:rPr>
      </w:pPr>
      <w:r w:rsidRPr="000A62CE">
        <w:rPr>
          <w:rFonts w:ascii="Times New Roman" w:eastAsia="Times New Roman" w:hAnsi="Times New Roman" w:cs="Times New Roman"/>
          <w:b/>
          <w:bCs/>
          <w:sz w:val="24"/>
          <w:szCs w:val="24"/>
        </w:rPr>
        <w:t>Virtual Presentations/Demos:</w:t>
      </w:r>
      <w:r w:rsidRPr="000A62CE">
        <w:rPr>
          <w:rFonts w:ascii="Times New Roman" w:eastAsia="Times New Roman" w:hAnsi="Times New Roman" w:cs="Times New Roman"/>
          <w:sz w:val="24"/>
          <w:szCs w:val="24"/>
        </w:rPr>
        <w:t xml:space="preserve"> Selected top </w:t>
      </w:r>
      <w:r w:rsidR="00595FDF">
        <w:rPr>
          <w:rFonts w:ascii="Times New Roman" w:eastAsia="Times New Roman" w:hAnsi="Times New Roman" w:cs="Times New Roman"/>
          <w:sz w:val="24"/>
          <w:szCs w:val="24"/>
        </w:rPr>
        <w:t>supplier</w:t>
      </w:r>
      <w:r w:rsidRPr="000A62CE">
        <w:rPr>
          <w:rFonts w:ascii="Times New Roman" w:eastAsia="Times New Roman" w:hAnsi="Times New Roman" w:cs="Times New Roman"/>
          <w:sz w:val="24"/>
          <w:szCs w:val="24"/>
        </w:rPr>
        <w:t xml:space="preserve"> may be requested to provide virtual presentations/demos, applicable to all </w:t>
      </w:r>
      <w:r w:rsidR="001D163C">
        <w:rPr>
          <w:rFonts w:ascii="Times New Roman" w:eastAsia="Times New Roman" w:hAnsi="Times New Roman" w:cs="Times New Roman"/>
          <w:sz w:val="24"/>
          <w:szCs w:val="24"/>
        </w:rPr>
        <w:t xml:space="preserve">MU </w:t>
      </w:r>
      <w:r w:rsidRPr="000A62CE">
        <w:rPr>
          <w:rFonts w:ascii="Times New Roman" w:eastAsia="Times New Roman" w:hAnsi="Times New Roman" w:cs="Times New Roman"/>
          <w:sz w:val="24"/>
          <w:szCs w:val="24"/>
        </w:rPr>
        <w:t>Health</w:t>
      </w:r>
      <w:r w:rsidR="001D163C">
        <w:rPr>
          <w:rFonts w:ascii="Times New Roman" w:eastAsia="Times New Roman" w:hAnsi="Times New Roman" w:cs="Times New Roman"/>
          <w:sz w:val="24"/>
          <w:szCs w:val="24"/>
        </w:rPr>
        <w:t xml:space="preserve"> C</w:t>
      </w:r>
      <w:r w:rsidRPr="000A62CE">
        <w:rPr>
          <w:rFonts w:ascii="Times New Roman" w:eastAsia="Times New Roman" w:hAnsi="Times New Roman" w:cs="Times New Roman"/>
          <w:sz w:val="24"/>
          <w:szCs w:val="24"/>
        </w:rPr>
        <w:t>are, System offices, and affiliates as needed.</w:t>
      </w:r>
    </w:p>
    <w:p w14:paraId="7FF4C9D2" w14:textId="77777777" w:rsidR="000A62CE" w:rsidRPr="000A62CE" w:rsidRDefault="000A62CE" w:rsidP="000A62CE">
      <w:pPr>
        <w:spacing w:before="100" w:beforeAutospacing="1" w:after="100" w:afterAutospacing="1" w:line="240" w:lineRule="auto"/>
        <w:rPr>
          <w:rFonts w:ascii="Times New Roman" w:eastAsia="Times New Roman" w:hAnsi="Times New Roman" w:cs="Times New Roman"/>
          <w:sz w:val="24"/>
          <w:szCs w:val="24"/>
        </w:rPr>
      </w:pPr>
      <w:r w:rsidRPr="000A62CE">
        <w:rPr>
          <w:rFonts w:ascii="Times New Roman" w:eastAsia="Times New Roman" w:hAnsi="Times New Roman" w:cs="Times New Roman"/>
          <w:b/>
          <w:bCs/>
          <w:sz w:val="24"/>
          <w:szCs w:val="24"/>
        </w:rPr>
        <w:t>Other Information:</w:t>
      </w:r>
    </w:p>
    <w:p w14:paraId="6CEF7A0B" w14:textId="77777777" w:rsidR="000A62CE" w:rsidRPr="000A62CE" w:rsidRDefault="000A62CE" w:rsidP="00F1405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A62CE">
        <w:rPr>
          <w:rFonts w:ascii="Times New Roman" w:eastAsia="Times New Roman" w:hAnsi="Times New Roman" w:cs="Times New Roman"/>
          <w:sz w:val="24"/>
          <w:szCs w:val="24"/>
        </w:rPr>
        <w:t>Qualifications of the firm.</w:t>
      </w:r>
    </w:p>
    <w:p w14:paraId="3A29E278" w14:textId="77777777" w:rsidR="000A62CE" w:rsidRPr="000A62CE" w:rsidRDefault="000A62CE" w:rsidP="00F1405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A62CE">
        <w:rPr>
          <w:rFonts w:ascii="Times New Roman" w:eastAsia="Times New Roman" w:hAnsi="Times New Roman" w:cs="Times New Roman"/>
          <w:sz w:val="24"/>
          <w:szCs w:val="24"/>
        </w:rPr>
        <w:t>Similar engagements for higher education, academic health, and healthcare clients.</w:t>
      </w:r>
    </w:p>
    <w:p w14:paraId="73E1F3C7" w14:textId="77777777" w:rsidR="000A62CE" w:rsidRPr="000A62CE" w:rsidRDefault="000A62CE" w:rsidP="00F1405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A62CE">
        <w:rPr>
          <w:rFonts w:ascii="Times New Roman" w:eastAsia="Times New Roman" w:hAnsi="Times New Roman" w:cs="Times New Roman"/>
          <w:sz w:val="24"/>
          <w:szCs w:val="24"/>
        </w:rPr>
        <w:t>Organization profile, including employee count and client list.</w:t>
      </w:r>
    </w:p>
    <w:p w14:paraId="3E51FF7F" w14:textId="77777777" w:rsidR="000A62CE" w:rsidRPr="000A62CE" w:rsidRDefault="000A62CE" w:rsidP="00F1405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A62CE">
        <w:rPr>
          <w:rFonts w:ascii="Times New Roman" w:eastAsia="Times New Roman" w:hAnsi="Times New Roman" w:cs="Times New Roman"/>
          <w:sz w:val="24"/>
          <w:szCs w:val="24"/>
        </w:rPr>
        <w:t>Background/resume of team members assigned to this engagement.</w:t>
      </w:r>
    </w:p>
    <w:p w14:paraId="2A5ABFDC" w14:textId="77777777" w:rsidR="00286D77" w:rsidRDefault="00286D77" w:rsidP="000A62CE">
      <w:pPr>
        <w:spacing w:before="100" w:beforeAutospacing="1" w:after="100" w:afterAutospacing="1" w:line="240" w:lineRule="auto"/>
        <w:rPr>
          <w:rFonts w:ascii="Times New Roman" w:eastAsia="Times New Roman" w:hAnsi="Times New Roman" w:cs="Times New Roman"/>
          <w:b/>
          <w:bCs/>
          <w:sz w:val="24"/>
          <w:szCs w:val="24"/>
        </w:rPr>
      </w:pPr>
    </w:p>
    <w:p w14:paraId="6AC37BAF" w14:textId="2D121921" w:rsidR="000A62CE" w:rsidRPr="000A62CE" w:rsidRDefault="000A62CE" w:rsidP="000A62CE">
      <w:pPr>
        <w:spacing w:before="100" w:beforeAutospacing="1" w:after="100" w:afterAutospacing="1" w:line="240" w:lineRule="auto"/>
        <w:rPr>
          <w:rFonts w:ascii="Times New Roman" w:eastAsia="Times New Roman" w:hAnsi="Times New Roman" w:cs="Times New Roman"/>
          <w:sz w:val="24"/>
          <w:szCs w:val="24"/>
        </w:rPr>
      </w:pPr>
      <w:r w:rsidRPr="000A62CE">
        <w:rPr>
          <w:rFonts w:ascii="Times New Roman" w:eastAsia="Times New Roman" w:hAnsi="Times New Roman" w:cs="Times New Roman"/>
          <w:b/>
          <w:bCs/>
          <w:sz w:val="24"/>
          <w:szCs w:val="24"/>
        </w:rPr>
        <w:t>Cost:</w:t>
      </w:r>
      <w:r w:rsidRPr="000A62CE">
        <w:rPr>
          <w:rFonts w:ascii="Times New Roman" w:eastAsia="Times New Roman" w:hAnsi="Times New Roman" w:cs="Times New Roman"/>
          <w:sz w:val="24"/>
          <w:szCs w:val="24"/>
        </w:rPr>
        <w:t xml:space="preserve"> Please provide a flat fee for the entire project, covering professional services and associated expenses.</w:t>
      </w:r>
    </w:p>
    <w:p w14:paraId="33033CD3" w14:textId="77777777" w:rsidR="00111263" w:rsidRDefault="00111263" w:rsidP="00E33060">
      <w:pPr>
        <w:spacing w:after="0" w:line="240" w:lineRule="auto"/>
        <w:rPr>
          <w:sz w:val="24"/>
        </w:rPr>
      </w:pPr>
    </w:p>
    <w:p w14:paraId="5370E7A0" w14:textId="77777777" w:rsidR="00286D77" w:rsidRDefault="00286D77" w:rsidP="00E33060">
      <w:pPr>
        <w:spacing w:after="0" w:line="240" w:lineRule="auto"/>
        <w:rPr>
          <w:sz w:val="24"/>
        </w:rPr>
      </w:pPr>
    </w:p>
    <w:p w14:paraId="268D95F9" w14:textId="77777777" w:rsidR="00286D77" w:rsidRDefault="00286D77" w:rsidP="00E33060">
      <w:pPr>
        <w:spacing w:after="0" w:line="240" w:lineRule="auto"/>
        <w:rPr>
          <w:sz w:val="24"/>
        </w:rPr>
      </w:pPr>
    </w:p>
    <w:p w14:paraId="62B616F0" w14:textId="77777777" w:rsidR="00286D77" w:rsidRDefault="00286D77" w:rsidP="00E33060">
      <w:pPr>
        <w:spacing w:after="0" w:line="240" w:lineRule="auto"/>
        <w:rPr>
          <w:sz w:val="24"/>
        </w:rPr>
      </w:pPr>
    </w:p>
    <w:p w14:paraId="187D1DBF" w14:textId="77777777" w:rsidR="00286D77" w:rsidRDefault="00286D77" w:rsidP="00E33060">
      <w:pPr>
        <w:spacing w:after="0" w:line="240" w:lineRule="auto"/>
        <w:rPr>
          <w:sz w:val="24"/>
        </w:rPr>
      </w:pPr>
    </w:p>
    <w:p w14:paraId="585A6F70" w14:textId="77777777" w:rsidR="00286D77" w:rsidRDefault="00286D77" w:rsidP="00E33060">
      <w:pPr>
        <w:spacing w:after="0" w:line="240" w:lineRule="auto"/>
        <w:rPr>
          <w:sz w:val="24"/>
        </w:rPr>
      </w:pPr>
    </w:p>
    <w:p w14:paraId="4F74C73F" w14:textId="77777777" w:rsidR="00286D77" w:rsidRDefault="00286D77" w:rsidP="00E33060">
      <w:pPr>
        <w:spacing w:after="0" w:line="240" w:lineRule="auto"/>
        <w:rPr>
          <w:sz w:val="24"/>
        </w:rPr>
      </w:pPr>
    </w:p>
    <w:p w14:paraId="57652960" w14:textId="77777777" w:rsidR="00286D77" w:rsidRDefault="00286D77" w:rsidP="00E33060">
      <w:pPr>
        <w:spacing w:after="0" w:line="240" w:lineRule="auto"/>
        <w:rPr>
          <w:sz w:val="24"/>
        </w:rPr>
      </w:pPr>
    </w:p>
    <w:p w14:paraId="63E6784E" w14:textId="77777777" w:rsidR="00286D77" w:rsidRDefault="00286D77" w:rsidP="00E33060">
      <w:pPr>
        <w:spacing w:after="0" w:line="240" w:lineRule="auto"/>
        <w:rPr>
          <w:sz w:val="24"/>
        </w:rPr>
      </w:pPr>
    </w:p>
    <w:p w14:paraId="399DC0A3" w14:textId="77777777" w:rsidR="00286D77" w:rsidRDefault="00286D77" w:rsidP="00E33060">
      <w:pPr>
        <w:spacing w:after="0" w:line="240" w:lineRule="auto"/>
        <w:rPr>
          <w:sz w:val="24"/>
        </w:rPr>
      </w:pPr>
    </w:p>
    <w:p w14:paraId="71864F5D" w14:textId="77777777" w:rsidR="00286D77" w:rsidRDefault="00286D77" w:rsidP="00E33060">
      <w:pPr>
        <w:spacing w:after="0" w:line="240" w:lineRule="auto"/>
        <w:rPr>
          <w:sz w:val="24"/>
        </w:rPr>
      </w:pPr>
    </w:p>
    <w:p w14:paraId="2AF846CD" w14:textId="77777777" w:rsidR="00286D77" w:rsidRDefault="00286D77" w:rsidP="00E33060">
      <w:pPr>
        <w:spacing w:after="0" w:line="240" w:lineRule="auto"/>
        <w:rPr>
          <w:sz w:val="24"/>
        </w:rPr>
      </w:pPr>
    </w:p>
    <w:p w14:paraId="34276F62" w14:textId="77777777" w:rsidR="00286D77" w:rsidRDefault="00286D77" w:rsidP="00E33060">
      <w:pPr>
        <w:spacing w:after="0" w:line="240" w:lineRule="auto"/>
        <w:rPr>
          <w:sz w:val="24"/>
        </w:rPr>
      </w:pPr>
    </w:p>
    <w:p w14:paraId="68A32C26" w14:textId="77777777" w:rsidR="00286D77" w:rsidRDefault="00286D77" w:rsidP="00E33060">
      <w:pPr>
        <w:spacing w:after="0" w:line="240" w:lineRule="auto"/>
        <w:rPr>
          <w:sz w:val="24"/>
        </w:rPr>
      </w:pPr>
    </w:p>
    <w:p w14:paraId="25A4B089" w14:textId="77777777" w:rsidR="00286D77" w:rsidRDefault="00286D77" w:rsidP="00E33060">
      <w:pPr>
        <w:spacing w:after="0" w:line="240" w:lineRule="auto"/>
        <w:rPr>
          <w:sz w:val="24"/>
        </w:rPr>
      </w:pPr>
    </w:p>
    <w:p w14:paraId="5E8F835A" w14:textId="77777777" w:rsidR="00286D77" w:rsidRDefault="00286D77" w:rsidP="00E33060">
      <w:pPr>
        <w:spacing w:after="0" w:line="240" w:lineRule="auto"/>
        <w:rPr>
          <w:sz w:val="24"/>
        </w:rPr>
      </w:pPr>
    </w:p>
    <w:p w14:paraId="4DAFFD5C" w14:textId="77777777" w:rsidR="00286D77" w:rsidRDefault="00286D77" w:rsidP="00E33060">
      <w:pPr>
        <w:spacing w:after="0" w:line="240" w:lineRule="auto"/>
        <w:rPr>
          <w:sz w:val="24"/>
        </w:rPr>
      </w:pPr>
    </w:p>
    <w:p w14:paraId="1AACF854" w14:textId="77777777" w:rsidR="00286D77" w:rsidRDefault="00286D77" w:rsidP="00E33060">
      <w:pPr>
        <w:spacing w:after="0" w:line="240" w:lineRule="auto"/>
        <w:rPr>
          <w:sz w:val="24"/>
        </w:rPr>
      </w:pPr>
    </w:p>
    <w:p w14:paraId="64FBF275" w14:textId="77777777" w:rsidR="00286D77" w:rsidRDefault="00286D77" w:rsidP="00E33060">
      <w:pPr>
        <w:spacing w:after="0" w:line="240" w:lineRule="auto"/>
        <w:rPr>
          <w:sz w:val="24"/>
        </w:rPr>
      </w:pPr>
    </w:p>
    <w:p w14:paraId="51641B0E" w14:textId="77777777" w:rsidR="00286D77" w:rsidRDefault="00286D77" w:rsidP="00E33060">
      <w:pPr>
        <w:spacing w:after="0" w:line="240" w:lineRule="auto"/>
        <w:rPr>
          <w:sz w:val="24"/>
        </w:rPr>
      </w:pPr>
    </w:p>
    <w:p w14:paraId="1B26BD60" w14:textId="77777777" w:rsidR="00286D77" w:rsidRDefault="00286D77" w:rsidP="00E33060">
      <w:pPr>
        <w:spacing w:after="0" w:line="240" w:lineRule="auto"/>
        <w:rPr>
          <w:sz w:val="24"/>
        </w:rPr>
      </w:pPr>
    </w:p>
    <w:p w14:paraId="4DA41B29" w14:textId="35F43047" w:rsidR="00286D77" w:rsidRDefault="00286D77" w:rsidP="00286D77">
      <w:pPr>
        <w:pStyle w:val="BodyText"/>
        <w:tabs>
          <w:tab w:val="left" w:pos="6037"/>
        </w:tabs>
        <w:ind w:left="280"/>
        <w:jc w:val="center"/>
        <w:rPr>
          <w:spacing w:val="-2"/>
          <w:sz w:val="21"/>
          <w:szCs w:val="21"/>
        </w:rPr>
      </w:pPr>
      <w:r>
        <w:rPr>
          <w:spacing w:val="-2"/>
          <w:sz w:val="21"/>
          <w:szCs w:val="21"/>
        </w:rPr>
        <w:t xml:space="preserve">EXHIBIT </w:t>
      </w:r>
      <w:r>
        <w:rPr>
          <w:spacing w:val="-2"/>
          <w:sz w:val="21"/>
          <w:szCs w:val="21"/>
        </w:rPr>
        <w:t>A</w:t>
      </w:r>
    </w:p>
    <w:p w14:paraId="2BB2DB99" w14:textId="77777777" w:rsidR="00286D77" w:rsidRDefault="00286D77" w:rsidP="00286D77">
      <w:pPr>
        <w:pStyle w:val="BodyText"/>
        <w:tabs>
          <w:tab w:val="left" w:pos="6037"/>
        </w:tabs>
        <w:ind w:left="280"/>
        <w:jc w:val="center"/>
        <w:rPr>
          <w:spacing w:val="-2"/>
          <w:sz w:val="21"/>
          <w:szCs w:val="21"/>
        </w:rPr>
      </w:pPr>
      <w:r>
        <w:rPr>
          <w:spacing w:val="-2"/>
          <w:sz w:val="21"/>
          <w:szCs w:val="21"/>
        </w:rPr>
        <w:t>RFP SECURITY RELATED CRITERIA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4668"/>
      </w:tblGrid>
      <w:tr w:rsidR="00286D77" w14:paraId="03426743" w14:textId="77777777" w:rsidTr="00D90479">
        <w:tc>
          <w:tcPr>
            <w:tcW w:w="10790" w:type="dxa"/>
            <w:gridSpan w:val="2"/>
            <w:shd w:val="clear" w:color="auto" w:fill="FDB719"/>
          </w:tcPr>
          <w:p w14:paraId="079F3F0C" w14:textId="77777777" w:rsidR="00286D77" w:rsidRPr="00996EEF" w:rsidRDefault="00286D77" w:rsidP="00D90479">
            <w:pPr>
              <w:jc w:val="right"/>
              <w:rPr>
                <w:b/>
                <w:bCs/>
                <w:smallCaps/>
              </w:rPr>
            </w:pPr>
            <w:r w:rsidRPr="00996EEF">
              <w:rPr>
                <w:b/>
                <w:bCs/>
                <w:smallCaps/>
                <w:sz w:val="32"/>
                <w:szCs w:val="32"/>
              </w:rPr>
              <w:t>MU Healthcare</w:t>
            </w:r>
            <w:r>
              <w:rPr>
                <w:b/>
                <w:bCs/>
                <w:smallCaps/>
                <w:sz w:val="32"/>
                <w:szCs w:val="32"/>
              </w:rPr>
              <w:t xml:space="preserve"> | Information Security</w:t>
            </w:r>
          </w:p>
        </w:tc>
      </w:tr>
      <w:tr w:rsidR="00286D77" w14:paraId="3DD08C73" w14:textId="77777777" w:rsidTr="00D90479">
        <w:trPr>
          <w:trHeight w:val="576"/>
        </w:trPr>
        <w:tc>
          <w:tcPr>
            <w:tcW w:w="10790" w:type="dxa"/>
            <w:gridSpan w:val="2"/>
            <w:shd w:val="clear" w:color="auto" w:fill="333333"/>
            <w:vAlign w:val="center"/>
          </w:tcPr>
          <w:p w14:paraId="258015C9" w14:textId="77777777" w:rsidR="00286D77" w:rsidRPr="00996EEF" w:rsidRDefault="00286D77" w:rsidP="00D90479">
            <w:pPr>
              <w:jc w:val="center"/>
              <w:rPr>
                <w:b/>
                <w:bCs/>
              </w:rPr>
            </w:pPr>
            <w:r>
              <w:rPr>
                <w:b/>
                <w:bCs/>
              </w:rPr>
              <w:t>RFP Mandatory and Desired</w:t>
            </w:r>
          </w:p>
        </w:tc>
      </w:tr>
      <w:tr w:rsidR="00286D77" w14:paraId="13DD050A" w14:textId="77777777" w:rsidTr="00D90479">
        <w:tblPrEx>
          <w:shd w:val="clear" w:color="auto" w:fill="D9D9D9" w:themeFill="background1" w:themeFillShade="D9"/>
        </w:tblPrEx>
        <w:tc>
          <w:tcPr>
            <w:tcW w:w="5395" w:type="dxa"/>
            <w:shd w:val="clear" w:color="auto" w:fill="D9D9D9" w:themeFill="background1" w:themeFillShade="D9"/>
          </w:tcPr>
          <w:p w14:paraId="04A8ECC0" w14:textId="77777777" w:rsidR="00286D77" w:rsidRDefault="00286D77" w:rsidP="00D90479">
            <w:pPr>
              <w:rPr>
                <w:b/>
                <w:bCs/>
              </w:rPr>
            </w:pPr>
            <w:r w:rsidRPr="004759D0">
              <w:rPr>
                <w:b/>
                <w:bCs/>
                <w:sz w:val="20"/>
                <w:szCs w:val="20"/>
              </w:rPr>
              <w:t>08/12/2025</w:t>
            </w:r>
          </w:p>
        </w:tc>
        <w:tc>
          <w:tcPr>
            <w:tcW w:w="5395" w:type="dxa"/>
            <w:shd w:val="clear" w:color="auto" w:fill="D9D9D9" w:themeFill="background1" w:themeFillShade="D9"/>
          </w:tcPr>
          <w:p w14:paraId="5F8F347A" w14:textId="77777777" w:rsidR="00286D77" w:rsidRDefault="00286D77" w:rsidP="00D90479">
            <w:pPr>
              <w:jc w:val="right"/>
              <w:rPr>
                <w:b/>
                <w:bCs/>
              </w:rPr>
            </w:pPr>
            <w:r>
              <w:rPr>
                <w:b/>
                <w:bCs/>
                <w:sz w:val="20"/>
                <w:szCs w:val="20"/>
              </w:rPr>
              <w:t xml:space="preserve">Most recent document can be found </w:t>
            </w:r>
            <w:hyperlink r:id="rId8" w:history="1">
              <w:r w:rsidRPr="00B53BB6">
                <w:rPr>
                  <w:rStyle w:val="Hyperlink"/>
                  <w:b/>
                  <w:bCs/>
                  <w:sz w:val="20"/>
                  <w:szCs w:val="20"/>
                </w:rPr>
                <w:t>here</w:t>
              </w:r>
            </w:hyperlink>
            <w:r>
              <w:rPr>
                <w:b/>
                <w:bCs/>
                <w:sz w:val="20"/>
                <w:szCs w:val="20"/>
              </w:rPr>
              <w:t>.</w:t>
            </w:r>
          </w:p>
        </w:tc>
      </w:tr>
    </w:tbl>
    <w:p w14:paraId="21170682" w14:textId="77777777" w:rsidR="00286D77" w:rsidRDefault="00286D77" w:rsidP="00286D77">
      <w:pPr>
        <w:rPr>
          <w:b/>
          <w:bCs/>
        </w:rPr>
      </w:pPr>
    </w:p>
    <w:p w14:paraId="0B6173B5" w14:textId="77777777" w:rsidR="00286D77" w:rsidRPr="009F428E" w:rsidRDefault="00286D77" w:rsidP="00286D77">
      <w:pPr>
        <w:rPr>
          <w:b/>
          <w:bCs/>
        </w:rPr>
      </w:pPr>
      <w:r w:rsidRPr="009F428E">
        <w:rPr>
          <w:b/>
          <w:bCs/>
        </w:rPr>
        <w:t>Security Related</w:t>
      </w:r>
    </w:p>
    <w:tbl>
      <w:tblPr>
        <w:tblStyle w:val="TableGrid"/>
        <w:tblW w:w="0" w:type="auto"/>
        <w:tblLook w:val="04A0" w:firstRow="1" w:lastRow="0" w:firstColumn="1" w:lastColumn="0" w:noHBand="0" w:noVBand="1"/>
      </w:tblPr>
      <w:tblGrid>
        <w:gridCol w:w="327"/>
        <w:gridCol w:w="1234"/>
        <w:gridCol w:w="1411"/>
        <w:gridCol w:w="3719"/>
        <w:gridCol w:w="2659"/>
      </w:tblGrid>
      <w:tr w:rsidR="00286D77" w14:paraId="171384FC" w14:textId="77777777" w:rsidTr="00D90479">
        <w:trPr>
          <w:cantSplit/>
        </w:trPr>
        <w:tc>
          <w:tcPr>
            <w:tcW w:w="428" w:type="dxa"/>
            <w:shd w:val="clear" w:color="auto" w:fill="002060"/>
          </w:tcPr>
          <w:p w14:paraId="34A0AF5C" w14:textId="77777777" w:rsidR="00286D77" w:rsidRDefault="00286D77" w:rsidP="00D90479"/>
        </w:tc>
        <w:tc>
          <w:tcPr>
            <w:tcW w:w="1257" w:type="dxa"/>
            <w:shd w:val="clear" w:color="auto" w:fill="002060"/>
          </w:tcPr>
          <w:p w14:paraId="137436A3" w14:textId="77777777" w:rsidR="00286D77" w:rsidRDefault="00286D77" w:rsidP="00D90479">
            <w:r>
              <w:t>Type</w:t>
            </w:r>
          </w:p>
        </w:tc>
        <w:tc>
          <w:tcPr>
            <w:tcW w:w="1517" w:type="dxa"/>
            <w:shd w:val="clear" w:color="auto" w:fill="002060"/>
          </w:tcPr>
          <w:p w14:paraId="6C60D95D" w14:textId="77777777" w:rsidR="00286D77" w:rsidRDefault="00286D77" w:rsidP="00D90479">
            <w:r>
              <w:t>Category</w:t>
            </w:r>
          </w:p>
        </w:tc>
        <w:tc>
          <w:tcPr>
            <w:tcW w:w="3719" w:type="dxa"/>
            <w:shd w:val="clear" w:color="auto" w:fill="002060"/>
          </w:tcPr>
          <w:p w14:paraId="5A7FAFEE" w14:textId="77777777" w:rsidR="00286D77" w:rsidRDefault="00286D77" w:rsidP="00D90479">
            <w:r>
              <w:t>Requirement</w:t>
            </w:r>
          </w:p>
        </w:tc>
        <w:tc>
          <w:tcPr>
            <w:tcW w:w="3869" w:type="dxa"/>
            <w:shd w:val="clear" w:color="auto" w:fill="002060"/>
          </w:tcPr>
          <w:p w14:paraId="6F8D3412" w14:textId="77777777" w:rsidR="00286D77" w:rsidRDefault="00286D77" w:rsidP="00D90479">
            <w:r>
              <w:t>Conditions</w:t>
            </w:r>
          </w:p>
        </w:tc>
      </w:tr>
      <w:tr w:rsidR="00286D77" w14:paraId="303CFE32" w14:textId="77777777" w:rsidTr="00D90479">
        <w:trPr>
          <w:cantSplit/>
        </w:trPr>
        <w:tc>
          <w:tcPr>
            <w:tcW w:w="428" w:type="dxa"/>
          </w:tcPr>
          <w:p w14:paraId="62E1877E" w14:textId="77777777" w:rsidR="00286D77" w:rsidRDefault="00286D77" w:rsidP="00286D77">
            <w:pPr>
              <w:pStyle w:val="ListParagraph"/>
              <w:numPr>
                <w:ilvl w:val="0"/>
                <w:numId w:val="22"/>
              </w:numPr>
            </w:pPr>
          </w:p>
        </w:tc>
        <w:tc>
          <w:tcPr>
            <w:tcW w:w="1257" w:type="dxa"/>
          </w:tcPr>
          <w:p w14:paraId="0117E5B6" w14:textId="77777777" w:rsidR="00286D77" w:rsidRDefault="00286D77" w:rsidP="00D90479">
            <w:r>
              <w:t>Mandatory</w:t>
            </w:r>
          </w:p>
        </w:tc>
        <w:tc>
          <w:tcPr>
            <w:tcW w:w="1517" w:type="dxa"/>
          </w:tcPr>
          <w:p w14:paraId="0CD4310A" w14:textId="77777777" w:rsidR="00286D77" w:rsidRDefault="00286D77" w:rsidP="00D90479">
            <w:r>
              <w:t>Agreements</w:t>
            </w:r>
          </w:p>
        </w:tc>
        <w:tc>
          <w:tcPr>
            <w:tcW w:w="3719" w:type="dxa"/>
          </w:tcPr>
          <w:p w14:paraId="436A0FC5" w14:textId="77777777" w:rsidR="00286D77" w:rsidRDefault="00286D77" w:rsidP="00D90479">
            <w:r>
              <w:t xml:space="preserve">The vendor will enter into a Business Associate Agreement </w:t>
            </w:r>
            <w:r w:rsidRPr="00B027C9">
              <w:t>provided</w:t>
            </w:r>
            <w:r>
              <w:t xml:space="preserve"> or agreed to</w:t>
            </w:r>
            <w:r w:rsidRPr="00B027C9">
              <w:t xml:space="preserve"> by UM System</w:t>
            </w:r>
            <w:r>
              <w:t>.</w:t>
            </w:r>
          </w:p>
        </w:tc>
        <w:tc>
          <w:tcPr>
            <w:tcW w:w="3869" w:type="dxa"/>
          </w:tcPr>
          <w:p w14:paraId="56EBD451" w14:textId="77777777" w:rsidR="00286D77" w:rsidRDefault="00286D77" w:rsidP="00D90479">
            <w:r>
              <w:t>Solutions that involve PHI.</w:t>
            </w:r>
          </w:p>
        </w:tc>
      </w:tr>
      <w:tr w:rsidR="00286D77" w14:paraId="14D0A18E" w14:textId="77777777" w:rsidTr="00D90479">
        <w:trPr>
          <w:cantSplit/>
        </w:trPr>
        <w:tc>
          <w:tcPr>
            <w:tcW w:w="428" w:type="dxa"/>
          </w:tcPr>
          <w:p w14:paraId="2EF084AE" w14:textId="77777777" w:rsidR="00286D77" w:rsidRDefault="00286D77" w:rsidP="00286D77">
            <w:pPr>
              <w:pStyle w:val="ListParagraph"/>
              <w:numPr>
                <w:ilvl w:val="0"/>
                <w:numId w:val="22"/>
              </w:numPr>
            </w:pPr>
          </w:p>
        </w:tc>
        <w:tc>
          <w:tcPr>
            <w:tcW w:w="1257" w:type="dxa"/>
          </w:tcPr>
          <w:p w14:paraId="5C1EC9BF" w14:textId="77777777" w:rsidR="00286D77" w:rsidRDefault="00286D77" w:rsidP="00D90479">
            <w:r>
              <w:t>Mandatory</w:t>
            </w:r>
          </w:p>
        </w:tc>
        <w:tc>
          <w:tcPr>
            <w:tcW w:w="1517" w:type="dxa"/>
          </w:tcPr>
          <w:p w14:paraId="242E899E" w14:textId="77777777" w:rsidR="00286D77" w:rsidRDefault="00286D77" w:rsidP="00D90479">
            <w:r>
              <w:t>Agreements</w:t>
            </w:r>
          </w:p>
        </w:tc>
        <w:tc>
          <w:tcPr>
            <w:tcW w:w="3719" w:type="dxa"/>
          </w:tcPr>
          <w:p w14:paraId="28623516" w14:textId="77777777" w:rsidR="00286D77" w:rsidRPr="002A1640" w:rsidRDefault="00286D77" w:rsidP="00D90479">
            <w:pPr>
              <w:rPr>
                <w:rFonts w:eastAsia="Times New Roman"/>
              </w:rPr>
            </w:pPr>
            <w:r w:rsidRPr="00C54BB7">
              <w:rPr>
                <w:rFonts w:eastAsia="Times New Roman"/>
              </w:rPr>
              <w:t>The vendor confirms that any subcontractors who have access to protected health information (PHI) have signed a Business Associate Agreement (BAA) with the vendor.</w:t>
            </w:r>
          </w:p>
        </w:tc>
        <w:tc>
          <w:tcPr>
            <w:tcW w:w="3869" w:type="dxa"/>
          </w:tcPr>
          <w:p w14:paraId="5A9B59CB" w14:textId="77777777" w:rsidR="00286D77" w:rsidRDefault="00286D77" w:rsidP="00D90479">
            <w:r>
              <w:t>Solutions that involve PHI.</w:t>
            </w:r>
          </w:p>
        </w:tc>
      </w:tr>
      <w:tr w:rsidR="00286D77" w14:paraId="3E143635" w14:textId="77777777" w:rsidTr="00D90479">
        <w:trPr>
          <w:cantSplit/>
        </w:trPr>
        <w:tc>
          <w:tcPr>
            <w:tcW w:w="428" w:type="dxa"/>
          </w:tcPr>
          <w:p w14:paraId="22D29224" w14:textId="77777777" w:rsidR="00286D77" w:rsidRDefault="00286D77" w:rsidP="00286D77">
            <w:pPr>
              <w:pStyle w:val="ListParagraph"/>
              <w:numPr>
                <w:ilvl w:val="0"/>
                <w:numId w:val="22"/>
              </w:numPr>
            </w:pPr>
          </w:p>
        </w:tc>
        <w:tc>
          <w:tcPr>
            <w:tcW w:w="1257" w:type="dxa"/>
          </w:tcPr>
          <w:p w14:paraId="033D227C" w14:textId="77777777" w:rsidR="00286D77" w:rsidRDefault="00286D77" w:rsidP="00D90479">
            <w:r>
              <w:t>Mandatory</w:t>
            </w:r>
          </w:p>
        </w:tc>
        <w:tc>
          <w:tcPr>
            <w:tcW w:w="1517" w:type="dxa"/>
          </w:tcPr>
          <w:p w14:paraId="5B609363" w14:textId="77777777" w:rsidR="00286D77" w:rsidRDefault="00286D77" w:rsidP="00D90479">
            <w:r>
              <w:t>Practices</w:t>
            </w:r>
          </w:p>
        </w:tc>
        <w:tc>
          <w:tcPr>
            <w:tcW w:w="3719" w:type="dxa"/>
          </w:tcPr>
          <w:p w14:paraId="23031A7B" w14:textId="77777777" w:rsidR="00286D77" w:rsidRDefault="00286D77" w:rsidP="00D90479">
            <w:pPr>
              <w:rPr>
                <w:rFonts w:eastAsia="Times New Roman"/>
              </w:rPr>
            </w:pPr>
            <w:r w:rsidRPr="002A1640">
              <w:rPr>
                <w:rFonts w:eastAsia="Times New Roman"/>
              </w:rPr>
              <w:t xml:space="preserve">Vendor will provide evidence of independent audit (SOC 2 Type 2, HITRUST, ISO 27001) where the scope of the audit covers the vendor’s operational practices and technical controls </w:t>
            </w:r>
            <w:r w:rsidRPr="00C32A80">
              <w:rPr>
                <w:rFonts w:eastAsia="Times New Roman"/>
                <w:b/>
                <w:bCs/>
              </w:rPr>
              <w:t>or</w:t>
            </w:r>
            <w:r w:rsidRPr="002A1640">
              <w:rPr>
                <w:rFonts w:eastAsia="Times New Roman"/>
              </w:rPr>
              <w:t xml:space="preserve"> complete a HECVAT FULL (most recent version).</w:t>
            </w:r>
          </w:p>
          <w:p w14:paraId="491B9F2C" w14:textId="77777777" w:rsidR="00286D77" w:rsidRDefault="00286D77" w:rsidP="00D90479">
            <w:pPr>
              <w:rPr>
                <w:rFonts w:eastAsia="Times New Roman"/>
              </w:rPr>
            </w:pPr>
          </w:p>
          <w:p w14:paraId="43B6478E" w14:textId="77777777" w:rsidR="00286D77" w:rsidRDefault="00286D77" w:rsidP="00D90479">
            <w:r>
              <w:t>Note: Independent audit is desired over HECVAT</w:t>
            </w:r>
          </w:p>
        </w:tc>
        <w:tc>
          <w:tcPr>
            <w:tcW w:w="3869" w:type="dxa"/>
          </w:tcPr>
          <w:p w14:paraId="42E3F3FE" w14:textId="77777777" w:rsidR="00286D77" w:rsidRDefault="00286D77" w:rsidP="00D90479">
            <w:r>
              <w:t>S</w:t>
            </w:r>
            <w:r w:rsidRPr="00250567">
              <w:t>olutions that are fully or partially hosted by the vendor, or where the vendor stores, processes, creates, receives, or transmits MUHC data.</w:t>
            </w:r>
          </w:p>
        </w:tc>
      </w:tr>
      <w:tr w:rsidR="00286D77" w14:paraId="75476E94" w14:textId="77777777" w:rsidTr="00D90479">
        <w:trPr>
          <w:cantSplit/>
        </w:trPr>
        <w:tc>
          <w:tcPr>
            <w:tcW w:w="428" w:type="dxa"/>
          </w:tcPr>
          <w:p w14:paraId="28706E6A" w14:textId="77777777" w:rsidR="00286D77" w:rsidRDefault="00286D77" w:rsidP="00286D77">
            <w:pPr>
              <w:pStyle w:val="ListParagraph"/>
              <w:numPr>
                <w:ilvl w:val="0"/>
                <w:numId w:val="22"/>
              </w:numPr>
            </w:pPr>
          </w:p>
        </w:tc>
        <w:tc>
          <w:tcPr>
            <w:tcW w:w="1257" w:type="dxa"/>
          </w:tcPr>
          <w:p w14:paraId="7C48A635" w14:textId="77777777" w:rsidR="00286D77" w:rsidRDefault="00286D77" w:rsidP="00D90479">
            <w:r>
              <w:t>Mandatory</w:t>
            </w:r>
          </w:p>
        </w:tc>
        <w:tc>
          <w:tcPr>
            <w:tcW w:w="1517" w:type="dxa"/>
          </w:tcPr>
          <w:p w14:paraId="0A1D26F5" w14:textId="77777777" w:rsidR="00286D77" w:rsidRDefault="00286D77" w:rsidP="00D90479">
            <w:r>
              <w:t>Practices</w:t>
            </w:r>
          </w:p>
        </w:tc>
        <w:tc>
          <w:tcPr>
            <w:tcW w:w="3719" w:type="dxa"/>
          </w:tcPr>
          <w:p w14:paraId="1B6C4778" w14:textId="77777777" w:rsidR="00286D77" w:rsidRDefault="00286D77" w:rsidP="00D90479">
            <w:pPr>
              <w:rPr>
                <w:rFonts w:eastAsia="Times New Roman"/>
              </w:rPr>
            </w:pPr>
            <w:r>
              <w:rPr>
                <w:rFonts w:eastAsia="Times New Roman"/>
              </w:rPr>
              <w:t>Manufacturer Disclosure Statement for Medical Device Security (MDS2)</w:t>
            </w:r>
          </w:p>
        </w:tc>
        <w:tc>
          <w:tcPr>
            <w:tcW w:w="3869" w:type="dxa"/>
          </w:tcPr>
          <w:p w14:paraId="23FE7E7E" w14:textId="77777777" w:rsidR="00286D77" w:rsidRDefault="00286D77" w:rsidP="00D90479">
            <w:r>
              <w:t>For solutions that involve medical devices.</w:t>
            </w:r>
          </w:p>
        </w:tc>
      </w:tr>
      <w:tr w:rsidR="00286D77" w14:paraId="03BFAFD2" w14:textId="77777777" w:rsidTr="00D90479">
        <w:trPr>
          <w:cantSplit/>
        </w:trPr>
        <w:tc>
          <w:tcPr>
            <w:tcW w:w="428" w:type="dxa"/>
          </w:tcPr>
          <w:p w14:paraId="506A168E" w14:textId="77777777" w:rsidR="00286D77" w:rsidRDefault="00286D77" w:rsidP="00286D77">
            <w:pPr>
              <w:pStyle w:val="ListParagraph"/>
              <w:numPr>
                <w:ilvl w:val="0"/>
                <w:numId w:val="22"/>
              </w:numPr>
            </w:pPr>
          </w:p>
        </w:tc>
        <w:tc>
          <w:tcPr>
            <w:tcW w:w="1257" w:type="dxa"/>
          </w:tcPr>
          <w:p w14:paraId="10F029EB" w14:textId="77777777" w:rsidR="00286D77" w:rsidRDefault="00286D77" w:rsidP="00D90479">
            <w:r>
              <w:t>Mandatory</w:t>
            </w:r>
          </w:p>
        </w:tc>
        <w:tc>
          <w:tcPr>
            <w:tcW w:w="1517" w:type="dxa"/>
          </w:tcPr>
          <w:p w14:paraId="6884D829" w14:textId="77777777" w:rsidR="00286D77" w:rsidRDefault="00286D77" w:rsidP="00D90479">
            <w:r>
              <w:t>Practices</w:t>
            </w:r>
          </w:p>
        </w:tc>
        <w:tc>
          <w:tcPr>
            <w:tcW w:w="3719" w:type="dxa"/>
          </w:tcPr>
          <w:p w14:paraId="4B659B26" w14:textId="77777777" w:rsidR="00286D77" w:rsidRDefault="00286D77" w:rsidP="00D90479">
            <w:pPr>
              <w:rPr>
                <w:rFonts w:eastAsia="Times New Roman"/>
              </w:rPr>
            </w:pPr>
            <w:r>
              <w:rPr>
                <w:rFonts w:eastAsia="Times New Roman"/>
              </w:rPr>
              <w:t>Vendor provides evidence of secure coding practices, including framework adoption.</w:t>
            </w:r>
          </w:p>
          <w:p w14:paraId="13FDDD1F" w14:textId="77777777" w:rsidR="00286D77" w:rsidRPr="002A1640" w:rsidRDefault="00286D77" w:rsidP="00D90479">
            <w:pPr>
              <w:rPr>
                <w:rFonts w:eastAsia="Times New Roman"/>
              </w:rPr>
            </w:pPr>
          </w:p>
        </w:tc>
        <w:tc>
          <w:tcPr>
            <w:tcW w:w="3869" w:type="dxa"/>
          </w:tcPr>
          <w:p w14:paraId="0D189959" w14:textId="77777777" w:rsidR="00286D77" w:rsidRDefault="00286D77" w:rsidP="00D90479">
            <w:r>
              <w:t>All</w:t>
            </w:r>
          </w:p>
        </w:tc>
      </w:tr>
      <w:tr w:rsidR="00286D77" w14:paraId="1A0517AC" w14:textId="77777777" w:rsidTr="00D90479">
        <w:trPr>
          <w:cantSplit/>
        </w:trPr>
        <w:tc>
          <w:tcPr>
            <w:tcW w:w="428" w:type="dxa"/>
          </w:tcPr>
          <w:p w14:paraId="6BC8BF83" w14:textId="77777777" w:rsidR="00286D77" w:rsidRDefault="00286D77" w:rsidP="00286D77">
            <w:pPr>
              <w:pStyle w:val="ListParagraph"/>
              <w:numPr>
                <w:ilvl w:val="0"/>
                <w:numId w:val="22"/>
              </w:numPr>
            </w:pPr>
          </w:p>
        </w:tc>
        <w:tc>
          <w:tcPr>
            <w:tcW w:w="1257" w:type="dxa"/>
          </w:tcPr>
          <w:p w14:paraId="0F67F596" w14:textId="77777777" w:rsidR="00286D77" w:rsidRDefault="00286D77" w:rsidP="00D90479">
            <w:r>
              <w:t>Mandatory</w:t>
            </w:r>
          </w:p>
        </w:tc>
        <w:tc>
          <w:tcPr>
            <w:tcW w:w="1517" w:type="dxa"/>
          </w:tcPr>
          <w:p w14:paraId="22452BAC" w14:textId="77777777" w:rsidR="00286D77" w:rsidRDefault="00286D77" w:rsidP="00D90479">
            <w:r>
              <w:t>Practices</w:t>
            </w:r>
          </w:p>
        </w:tc>
        <w:tc>
          <w:tcPr>
            <w:tcW w:w="3719" w:type="dxa"/>
          </w:tcPr>
          <w:p w14:paraId="52A93775" w14:textId="77777777" w:rsidR="00286D77" w:rsidRDefault="00286D77" w:rsidP="00D90479">
            <w:r>
              <w:t>V</w:t>
            </w:r>
            <w:r w:rsidRPr="00157E8A">
              <w:t>endors must provide complete vulnerability scan and penetration testing reports conducted within the past 12 months.</w:t>
            </w:r>
          </w:p>
          <w:p w14:paraId="40C15267" w14:textId="77777777" w:rsidR="00286D77" w:rsidRDefault="00286D77" w:rsidP="00D90479"/>
          <w:p w14:paraId="53831D85" w14:textId="77777777" w:rsidR="00286D77" w:rsidRDefault="00286D77" w:rsidP="00D90479">
            <w:r>
              <w:t>Note: Independent vulnerability scan and penetration test is desired over internal.</w:t>
            </w:r>
          </w:p>
          <w:p w14:paraId="68106AEE" w14:textId="77777777" w:rsidR="00286D77" w:rsidRDefault="00286D77" w:rsidP="00D90479">
            <w:pPr>
              <w:rPr>
                <w:rFonts w:eastAsia="Times New Roman"/>
              </w:rPr>
            </w:pPr>
          </w:p>
        </w:tc>
        <w:tc>
          <w:tcPr>
            <w:tcW w:w="3869" w:type="dxa"/>
          </w:tcPr>
          <w:p w14:paraId="58E310B7" w14:textId="77777777" w:rsidR="00286D77" w:rsidRDefault="00286D77" w:rsidP="00D90479">
            <w:r w:rsidRPr="00157E8A">
              <w:t>For solutions that involve cloud-based, web-based, or API components</w:t>
            </w:r>
            <w:r>
              <w:t>.</w:t>
            </w:r>
          </w:p>
        </w:tc>
      </w:tr>
      <w:tr w:rsidR="00286D77" w14:paraId="70845908" w14:textId="77777777" w:rsidTr="00D90479">
        <w:trPr>
          <w:cantSplit/>
        </w:trPr>
        <w:tc>
          <w:tcPr>
            <w:tcW w:w="428" w:type="dxa"/>
          </w:tcPr>
          <w:p w14:paraId="5069D722" w14:textId="77777777" w:rsidR="00286D77" w:rsidRDefault="00286D77" w:rsidP="00286D77">
            <w:pPr>
              <w:pStyle w:val="ListParagraph"/>
              <w:numPr>
                <w:ilvl w:val="0"/>
                <w:numId w:val="22"/>
              </w:numPr>
            </w:pPr>
          </w:p>
        </w:tc>
        <w:tc>
          <w:tcPr>
            <w:tcW w:w="1257" w:type="dxa"/>
          </w:tcPr>
          <w:p w14:paraId="076F0F4B" w14:textId="77777777" w:rsidR="00286D77" w:rsidRDefault="00286D77" w:rsidP="00D90479">
            <w:r>
              <w:t>Mandatory</w:t>
            </w:r>
          </w:p>
        </w:tc>
        <w:tc>
          <w:tcPr>
            <w:tcW w:w="1517" w:type="dxa"/>
          </w:tcPr>
          <w:p w14:paraId="4AAA5EDA" w14:textId="77777777" w:rsidR="00286D77" w:rsidRDefault="00286D77" w:rsidP="00D90479">
            <w:r>
              <w:t>Best Practices &amp; Compliance</w:t>
            </w:r>
          </w:p>
        </w:tc>
        <w:tc>
          <w:tcPr>
            <w:tcW w:w="3719" w:type="dxa"/>
          </w:tcPr>
          <w:p w14:paraId="0505AA4A" w14:textId="77777777" w:rsidR="00286D77" w:rsidRDefault="00286D77" w:rsidP="00D90479">
            <w:r w:rsidRPr="00894BFF">
              <w:t>Solution supports unique user identification requirement.</w:t>
            </w:r>
          </w:p>
        </w:tc>
        <w:tc>
          <w:tcPr>
            <w:tcW w:w="3869" w:type="dxa"/>
          </w:tcPr>
          <w:p w14:paraId="45628B3C" w14:textId="77777777" w:rsidR="00286D77" w:rsidRPr="00157E8A" w:rsidRDefault="00286D77" w:rsidP="00D90479">
            <w:r>
              <w:t>All</w:t>
            </w:r>
          </w:p>
        </w:tc>
      </w:tr>
      <w:tr w:rsidR="00286D77" w14:paraId="4511B183" w14:textId="77777777" w:rsidTr="00D90479">
        <w:trPr>
          <w:cantSplit/>
        </w:trPr>
        <w:tc>
          <w:tcPr>
            <w:tcW w:w="428" w:type="dxa"/>
          </w:tcPr>
          <w:p w14:paraId="205878C0" w14:textId="77777777" w:rsidR="00286D77" w:rsidRDefault="00286D77" w:rsidP="00286D77">
            <w:pPr>
              <w:pStyle w:val="ListParagraph"/>
              <w:numPr>
                <w:ilvl w:val="0"/>
                <w:numId w:val="22"/>
              </w:numPr>
            </w:pPr>
          </w:p>
        </w:tc>
        <w:tc>
          <w:tcPr>
            <w:tcW w:w="1257" w:type="dxa"/>
          </w:tcPr>
          <w:p w14:paraId="7D1D2681" w14:textId="77777777" w:rsidR="00286D77" w:rsidRDefault="00286D77" w:rsidP="00D90479">
            <w:r>
              <w:t>Mandatory</w:t>
            </w:r>
          </w:p>
        </w:tc>
        <w:tc>
          <w:tcPr>
            <w:tcW w:w="1517" w:type="dxa"/>
          </w:tcPr>
          <w:p w14:paraId="625B0B03" w14:textId="77777777" w:rsidR="00286D77" w:rsidRDefault="00286D77" w:rsidP="00D90479">
            <w:r>
              <w:t>Best Practices &amp; Compliance</w:t>
            </w:r>
          </w:p>
        </w:tc>
        <w:tc>
          <w:tcPr>
            <w:tcW w:w="3719" w:type="dxa"/>
          </w:tcPr>
          <w:p w14:paraId="59C25E83" w14:textId="77777777" w:rsidR="00286D77" w:rsidRPr="00894BFF" w:rsidRDefault="00286D77" w:rsidP="00D90479">
            <w:r w:rsidRPr="007A58C6">
              <w:t>Solution supports Role-Based Access Controls (RBAC)</w:t>
            </w:r>
            <w:r>
              <w:t>.</w:t>
            </w:r>
          </w:p>
        </w:tc>
        <w:tc>
          <w:tcPr>
            <w:tcW w:w="3869" w:type="dxa"/>
          </w:tcPr>
          <w:p w14:paraId="10B09B10" w14:textId="77777777" w:rsidR="00286D77" w:rsidRDefault="00286D77" w:rsidP="00D90479">
            <w:r>
              <w:t>All</w:t>
            </w:r>
          </w:p>
          <w:p w14:paraId="623975A0" w14:textId="77777777" w:rsidR="00286D77" w:rsidRDefault="00286D77" w:rsidP="00D90479"/>
          <w:p w14:paraId="51625989" w14:textId="77777777" w:rsidR="00286D77" w:rsidRDefault="00286D77" w:rsidP="00D90479">
            <w:r>
              <w:t>For solutions involving PHI, RBAC must support minimum necessary standard.</w:t>
            </w:r>
          </w:p>
        </w:tc>
      </w:tr>
      <w:tr w:rsidR="00286D77" w14:paraId="4C7872D9" w14:textId="77777777" w:rsidTr="00D90479">
        <w:trPr>
          <w:cantSplit/>
        </w:trPr>
        <w:tc>
          <w:tcPr>
            <w:tcW w:w="428" w:type="dxa"/>
          </w:tcPr>
          <w:p w14:paraId="52D3D923" w14:textId="77777777" w:rsidR="00286D77" w:rsidRDefault="00286D77" w:rsidP="00286D77">
            <w:pPr>
              <w:pStyle w:val="ListParagraph"/>
              <w:numPr>
                <w:ilvl w:val="0"/>
                <w:numId w:val="22"/>
              </w:numPr>
            </w:pPr>
          </w:p>
        </w:tc>
        <w:tc>
          <w:tcPr>
            <w:tcW w:w="1257" w:type="dxa"/>
          </w:tcPr>
          <w:p w14:paraId="243DF8CC" w14:textId="77777777" w:rsidR="00286D77" w:rsidRDefault="00286D77" w:rsidP="00D90479">
            <w:r>
              <w:t xml:space="preserve">Mandatory </w:t>
            </w:r>
          </w:p>
        </w:tc>
        <w:tc>
          <w:tcPr>
            <w:tcW w:w="1517" w:type="dxa"/>
          </w:tcPr>
          <w:p w14:paraId="787E5EDB" w14:textId="77777777" w:rsidR="00286D77" w:rsidRDefault="00286D77" w:rsidP="00D90479">
            <w:r>
              <w:t>Compliance</w:t>
            </w:r>
          </w:p>
        </w:tc>
        <w:tc>
          <w:tcPr>
            <w:tcW w:w="3719" w:type="dxa"/>
          </w:tcPr>
          <w:p w14:paraId="2309F2F8" w14:textId="77777777" w:rsidR="00286D77" w:rsidRPr="007A58C6" w:rsidRDefault="00286D77" w:rsidP="00D90479">
            <w:r>
              <w:t xml:space="preserve">The solution meets user access log requirements below </w:t>
            </w:r>
            <w:r>
              <w:rPr>
                <w:rStyle w:val="EndnoteReference"/>
              </w:rPr>
              <w:endnoteReference w:id="1"/>
            </w:r>
            <w:r>
              <w:t>.</w:t>
            </w:r>
          </w:p>
        </w:tc>
        <w:tc>
          <w:tcPr>
            <w:tcW w:w="3869" w:type="dxa"/>
          </w:tcPr>
          <w:p w14:paraId="4FBACDDD" w14:textId="77777777" w:rsidR="00286D77" w:rsidRDefault="00286D77" w:rsidP="00D90479">
            <w:r>
              <w:t>Solutions that involve PHI.</w:t>
            </w:r>
          </w:p>
        </w:tc>
      </w:tr>
      <w:tr w:rsidR="00286D77" w14:paraId="540317AA" w14:textId="77777777" w:rsidTr="00D90479">
        <w:trPr>
          <w:cantSplit/>
        </w:trPr>
        <w:tc>
          <w:tcPr>
            <w:tcW w:w="428" w:type="dxa"/>
          </w:tcPr>
          <w:p w14:paraId="43DAC753" w14:textId="77777777" w:rsidR="00286D77" w:rsidRDefault="00286D77" w:rsidP="00286D77">
            <w:pPr>
              <w:pStyle w:val="ListParagraph"/>
              <w:numPr>
                <w:ilvl w:val="0"/>
                <w:numId w:val="22"/>
              </w:numPr>
            </w:pPr>
          </w:p>
        </w:tc>
        <w:tc>
          <w:tcPr>
            <w:tcW w:w="1257" w:type="dxa"/>
          </w:tcPr>
          <w:p w14:paraId="3B1D827C" w14:textId="77777777" w:rsidR="00286D77" w:rsidRDefault="00286D77" w:rsidP="00D90479">
            <w:r>
              <w:t>Mandatory</w:t>
            </w:r>
          </w:p>
        </w:tc>
        <w:tc>
          <w:tcPr>
            <w:tcW w:w="1517" w:type="dxa"/>
          </w:tcPr>
          <w:p w14:paraId="7623A5E3" w14:textId="77777777" w:rsidR="00286D77" w:rsidRDefault="00286D77" w:rsidP="00D90479">
            <w:r>
              <w:t>Compliance</w:t>
            </w:r>
          </w:p>
        </w:tc>
        <w:tc>
          <w:tcPr>
            <w:tcW w:w="3719" w:type="dxa"/>
          </w:tcPr>
          <w:p w14:paraId="509FE34F" w14:textId="77777777" w:rsidR="00286D77" w:rsidRPr="007A58C6" w:rsidRDefault="00286D77" w:rsidP="00D90479">
            <w:r>
              <w:t>All PHI on vendor’s systems and subsystems are encrypted with industry approved encryption technology.</w:t>
            </w:r>
          </w:p>
        </w:tc>
        <w:tc>
          <w:tcPr>
            <w:tcW w:w="3869" w:type="dxa"/>
          </w:tcPr>
          <w:p w14:paraId="20E032A1" w14:textId="77777777" w:rsidR="00286D77" w:rsidRDefault="00286D77" w:rsidP="00D90479">
            <w:r>
              <w:t>S</w:t>
            </w:r>
            <w:r w:rsidRPr="00250567">
              <w:t xml:space="preserve">olutions that are fully or partially hosted by the vendor, or where the vendor stores, processes, creates, receives, or transmits MUHC </w:t>
            </w:r>
            <w:r>
              <w:t>PHI</w:t>
            </w:r>
            <w:r w:rsidRPr="00250567">
              <w:t>.</w:t>
            </w:r>
          </w:p>
        </w:tc>
      </w:tr>
      <w:tr w:rsidR="00286D77" w14:paraId="1CCB7114" w14:textId="77777777" w:rsidTr="00D90479">
        <w:trPr>
          <w:cantSplit/>
        </w:trPr>
        <w:tc>
          <w:tcPr>
            <w:tcW w:w="428" w:type="dxa"/>
          </w:tcPr>
          <w:p w14:paraId="15AFB20C" w14:textId="77777777" w:rsidR="00286D77" w:rsidRDefault="00286D77" w:rsidP="00286D77">
            <w:pPr>
              <w:pStyle w:val="ListParagraph"/>
              <w:numPr>
                <w:ilvl w:val="0"/>
                <w:numId w:val="22"/>
              </w:numPr>
            </w:pPr>
          </w:p>
        </w:tc>
        <w:tc>
          <w:tcPr>
            <w:tcW w:w="1257" w:type="dxa"/>
          </w:tcPr>
          <w:p w14:paraId="104E2F4F" w14:textId="77777777" w:rsidR="00286D77" w:rsidRDefault="00286D77" w:rsidP="00D90479">
            <w:r>
              <w:t>Mandatory</w:t>
            </w:r>
          </w:p>
        </w:tc>
        <w:tc>
          <w:tcPr>
            <w:tcW w:w="1517" w:type="dxa"/>
          </w:tcPr>
          <w:p w14:paraId="22799EFA" w14:textId="77777777" w:rsidR="00286D77" w:rsidRDefault="00286D77" w:rsidP="00D90479">
            <w:r>
              <w:t>Best Practices &amp; Compliance</w:t>
            </w:r>
          </w:p>
        </w:tc>
        <w:tc>
          <w:tcPr>
            <w:tcW w:w="3719" w:type="dxa"/>
          </w:tcPr>
          <w:p w14:paraId="2ED495EB" w14:textId="77777777" w:rsidR="00286D77" w:rsidRDefault="00286D77" w:rsidP="00D90479">
            <w:r w:rsidRPr="00881248">
              <w:t xml:space="preserve">Vendor utilizes zero trust methodology.  </w:t>
            </w:r>
          </w:p>
          <w:p w14:paraId="2C881B95" w14:textId="77777777" w:rsidR="00286D77" w:rsidRDefault="00286D77" w:rsidP="00D90479"/>
          <w:p w14:paraId="7C96FA58" w14:textId="77777777" w:rsidR="00286D77" w:rsidRPr="00881248" w:rsidRDefault="00286D77" w:rsidP="00D90479">
            <w:r w:rsidRPr="00881248">
              <w:t>On-prem Servers, Appliances, and Devices (if applicable) must:</w:t>
            </w:r>
          </w:p>
          <w:p w14:paraId="470EEC4B" w14:textId="77777777" w:rsidR="00286D77" w:rsidRDefault="00286D77" w:rsidP="00286D77">
            <w:pPr>
              <w:pStyle w:val="ListParagraph"/>
              <w:numPr>
                <w:ilvl w:val="0"/>
                <w:numId w:val="24"/>
              </w:numPr>
              <w:tabs>
                <w:tab w:val="num" w:pos="2160"/>
              </w:tabs>
            </w:pPr>
            <w:r w:rsidRPr="00881248">
              <w:t>Support residing in an isolated VLAN where inbound and outbound traffic must be allow-listed.</w:t>
            </w:r>
          </w:p>
          <w:p w14:paraId="228BC97F" w14:textId="77777777" w:rsidR="00286D77" w:rsidRPr="00881248" w:rsidRDefault="00286D77" w:rsidP="00286D77">
            <w:pPr>
              <w:pStyle w:val="ListParagraph"/>
              <w:numPr>
                <w:ilvl w:val="0"/>
                <w:numId w:val="24"/>
              </w:numPr>
              <w:tabs>
                <w:tab w:val="num" w:pos="2160"/>
              </w:tabs>
            </w:pPr>
            <w:r w:rsidRPr="00881248">
              <w:t>Support MUHC endpoint detection and response (malware protection).</w:t>
            </w:r>
          </w:p>
          <w:p w14:paraId="67BDD537" w14:textId="77777777" w:rsidR="00286D77" w:rsidRDefault="00286D77" w:rsidP="00286D77">
            <w:pPr>
              <w:pStyle w:val="ListParagraph"/>
              <w:numPr>
                <w:ilvl w:val="0"/>
                <w:numId w:val="24"/>
              </w:numPr>
            </w:pPr>
            <w:r w:rsidRPr="00881248">
              <w:t>Support operating systems that are not end of life support.</w:t>
            </w:r>
          </w:p>
        </w:tc>
        <w:tc>
          <w:tcPr>
            <w:tcW w:w="3869" w:type="dxa"/>
          </w:tcPr>
          <w:p w14:paraId="78A99524" w14:textId="77777777" w:rsidR="00286D77" w:rsidRDefault="00286D77" w:rsidP="00D90479">
            <w:r>
              <w:t>All solutions.</w:t>
            </w:r>
          </w:p>
        </w:tc>
      </w:tr>
      <w:tr w:rsidR="00286D77" w14:paraId="36BE4014" w14:textId="77777777" w:rsidTr="00D90479">
        <w:trPr>
          <w:cantSplit/>
        </w:trPr>
        <w:tc>
          <w:tcPr>
            <w:tcW w:w="428" w:type="dxa"/>
          </w:tcPr>
          <w:p w14:paraId="43BDCE6D" w14:textId="77777777" w:rsidR="00286D77" w:rsidRDefault="00286D77" w:rsidP="00286D77">
            <w:pPr>
              <w:pStyle w:val="ListParagraph"/>
              <w:numPr>
                <w:ilvl w:val="0"/>
                <w:numId w:val="22"/>
              </w:numPr>
            </w:pPr>
          </w:p>
        </w:tc>
        <w:tc>
          <w:tcPr>
            <w:tcW w:w="1257" w:type="dxa"/>
          </w:tcPr>
          <w:p w14:paraId="63A51458" w14:textId="77777777" w:rsidR="00286D77" w:rsidRDefault="00286D77" w:rsidP="00D90479">
            <w:r>
              <w:t>Mandatory</w:t>
            </w:r>
          </w:p>
        </w:tc>
        <w:tc>
          <w:tcPr>
            <w:tcW w:w="1517" w:type="dxa"/>
          </w:tcPr>
          <w:p w14:paraId="4F0A719F" w14:textId="77777777" w:rsidR="00286D77" w:rsidRDefault="00286D77" w:rsidP="00D90479">
            <w:r>
              <w:t>Best Practices</w:t>
            </w:r>
          </w:p>
        </w:tc>
        <w:tc>
          <w:tcPr>
            <w:tcW w:w="3719" w:type="dxa"/>
          </w:tcPr>
          <w:p w14:paraId="5EB5D20D" w14:textId="77777777" w:rsidR="00286D77" w:rsidRDefault="00286D77" w:rsidP="00D90479">
            <w:pPr>
              <w:rPr>
                <w:rFonts w:eastAsia="Times New Roman"/>
              </w:rPr>
            </w:pPr>
            <w:r>
              <w:rPr>
                <w:rFonts w:eastAsia="Times New Roman"/>
              </w:rPr>
              <w:t>If the solution needs to send email where the “from” email address is from a UM domain (e.g., @health.missouri.edu, @umsystem.edu, @missouri.edu), the solution must support subdomains (e.g., @vendorsolution.health.missouri.edu).</w:t>
            </w:r>
          </w:p>
          <w:p w14:paraId="00482F24" w14:textId="77777777" w:rsidR="00286D77" w:rsidRPr="00881248" w:rsidRDefault="00286D77" w:rsidP="00D90479"/>
        </w:tc>
        <w:tc>
          <w:tcPr>
            <w:tcW w:w="3869" w:type="dxa"/>
          </w:tcPr>
          <w:p w14:paraId="6C453990" w14:textId="77777777" w:rsidR="00286D77" w:rsidRDefault="00286D77" w:rsidP="00D90479">
            <w:r>
              <w:t>All solutions.</w:t>
            </w:r>
          </w:p>
        </w:tc>
      </w:tr>
      <w:tr w:rsidR="00286D77" w14:paraId="527BC2AD" w14:textId="77777777" w:rsidTr="00D90479">
        <w:trPr>
          <w:cantSplit/>
        </w:trPr>
        <w:tc>
          <w:tcPr>
            <w:tcW w:w="428" w:type="dxa"/>
          </w:tcPr>
          <w:p w14:paraId="3BACFD62" w14:textId="77777777" w:rsidR="00286D77" w:rsidRDefault="00286D77" w:rsidP="00286D77">
            <w:pPr>
              <w:pStyle w:val="ListParagraph"/>
              <w:numPr>
                <w:ilvl w:val="0"/>
                <w:numId w:val="22"/>
              </w:numPr>
            </w:pPr>
          </w:p>
        </w:tc>
        <w:tc>
          <w:tcPr>
            <w:tcW w:w="1257" w:type="dxa"/>
          </w:tcPr>
          <w:p w14:paraId="76816254" w14:textId="77777777" w:rsidR="00286D77" w:rsidRDefault="00286D77" w:rsidP="00D90479">
            <w:r>
              <w:t>Mandatory</w:t>
            </w:r>
          </w:p>
        </w:tc>
        <w:tc>
          <w:tcPr>
            <w:tcW w:w="1517" w:type="dxa"/>
          </w:tcPr>
          <w:p w14:paraId="5CA62687" w14:textId="77777777" w:rsidR="00286D77" w:rsidRDefault="00286D77" w:rsidP="00D90479">
            <w:r>
              <w:t>Best Practices</w:t>
            </w:r>
          </w:p>
        </w:tc>
        <w:tc>
          <w:tcPr>
            <w:tcW w:w="3719" w:type="dxa"/>
          </w:tcPr>
          <w:p w14:paraId="6D20E62D" w14:textId="77777777" w:rsidR="00286D77" w:rsidRDefault="00286D77" w:rsidP="00D90479">
            <w:pPr>
              <w:rPr>
                <w:rFonts w:eastAsia="Times New Roman"/>
              </w:rPr>
            </w:pPr>
            <w:r>
              <w:rPr>
                <w:rFonts w:eastAsia="Times New Roman"/>
              </w:rPr>
              <w:t>Mobile apps must be capable of running under MUHC’s Mobile Device Management solutions.</w:t>
            </w:r>
          </w:p>
          <w:p w14:paraId="222B4416" w14:textId="77777777" w:rsidR="00286D77" w:rsidRDefault="00286D77" w:rsidP="00D90479">
            <w:pPr>
              <w:rPr>
                <w:rFonts w:eastAsia="Times New Roman"/>
              </w:rPr>
            </w:pPr>
          </w:p>
        </w:tc>
        <w:tc>
          <w:tcPr>
            <w:tcW w:w="3869" w:type="dxa"/>
          </w:tcPr>
          <w:p w14:paraId="70DFBDA8" w14:textId="77777777" w:rsidR="00286D77" w:rsidRDefault="00286D77" w:rsidP="00D90479">
            <w:r>
              <w:t>All solutions that involve a mobile app used by MUHC workforce.</w:t>
            </w:r>
          </w:p>
        </w:tc>
      </w:tr>
      <w:tr w:rsidR="00286D77" w14:paraId="0BA52673" w14:textId="77777777" w:rsidTr="00D90479">
        <w:trPr>
          <w:cantSplit/>
        </w:trPr>
        <w:tc>
          <w:tcPr>
            <w:tcW w:w="428" w:type="dxa"/>
          </w:tcPr>
          <w:p w14:paraId="70E84F5F" w14:textId="77777777" w:rsidR="00286D77" w:rsidRDefault="00286D77" w:rsidP="00286D77">
            <w:pPr>
              <w:pStyle w:val="ListParagraph"/>
              <w:numPr>
                <w:ilvl w:val="0"/>
                <w:numId w:val="22"/>
              </w:numPr>
            </w:pPr>
          </w:p>
        </w:tc>
        <w:tc>
          <w:tcPr>
            <w:tcW w:w="1257" w:type="dxa"/>
          </w:tcPr>
          <w:p w14:paraId="1B39D844" w14:textId="77777777" w:rsidR="00286D77" w:rsidRDefault="00286D77" w:rsidP="00D90479">
            <w:r>
              <w:t>Mandatory</w:t>
            </w:r>
          </w:p>
        </w:tc>
        <w:tc>
          <w:tcPr>
            <w:tcW w:w="1517" w:type="dxa"/>
          </w:tcPr>
          <w:p w14:paraId="152A59C9" w14:textId="77777777" w:rsidR="00286D77" w:rsidRDefault="00286D77" w:rsidP="00D90479">
            <w:r>
              <w:t>Best Practices</w:t>
            </w:r>
          </w:p>
        </w:tc>
        <w:tc>
          <w:tcPr>
            <w:tcW w:w="3719" w:type="dxa"/>
          </w:tcPr>
          <w:p w14:paraId="14C32686" w14:textId="77777777" w:rsidR="00286D77" w:rsidRPr="003D2E3D" w:rsidRDefault="00286D77" w:rsidP="00D90479">
            <w:pPr>
              <w:rPr>
                <w:rFonts w:eastAsia="Times New Roman"/>
              </w:rPr>
            </w:pPr>
            <w:r w:rsidRPr="003D2E3D">
              <w:rPr>
                <w:rFonts w:eastAsia="Times New Roman"/>
              </w:rPr>
              <w:t>User accounts can be disabled or deactivated rather than deleted</w:t>
            </w:r>
            <w:r>
              <w:rPr>
                <w:rFonts w:eastAsia="Times New Roman"/>
              </w:rPr>
              <w:t xml:space="preserve"> and disabled accounts are not subject to licensing.</w:t>
            </w:r>
          </w:p>
          <w:p w14:paraId="1DA9A67E" w14:textId="77777777" w:rsidR="00286D77" w:rsidRPr="004060A5" w:rsidRDefault="00286D77" w:rsidP="00D90479">
            <w:pPr>
              <w:rPr>
                <w:rFonts w:eastAsia="Times New Roman"/>
                <w:b/>
                <w:bCs/>
              </w:rPr>
            </w:pPr>
          </w:p>
        </w:tc>
        <w:tc>
          <w:tcPr>
            <w:tcW w:w="3869" w:type="dxa"/>
          </w:tcPr>
          <w:p w14:paraId="1064F203" w14:textId="77777777" w:rsidR="00286D77" w:rsidRPr="00157E8A" w:rsidRDefault="00286D77" w:rsidP="00D90479">
            <w:r>
              <w:t>All</w:t>
            </w:r>
          </w:p>
        </w:tc>
      </w:tr>
      <w:tr w:rsidR="00286D77" w14:paraId="5DF885D8" w14:textId="77777777" w:rsidTr="00D90479">
        <w:trPr>
          <w:cantSplit/>
        </w:trPr>
        <w:tc>
          <w:tcPr>
            <w:tcW w:w="428" w:type="dxa"/>
          </w:tcPr>
          <w:p w14:paraId="59C0B695" w14:textId="77777777" w:rsidR="00286D77" w:rsidRDefault="00286D77" w:rsidP="00286D77">
            <w:pPr>
              <w:pStyle w:val="ListParagraph"/>
              <w:numPr>
                <w:ilvl w:val="0"/>
                <w:numId w:val="22"/>
              </w:numPr>
            </w:pPr>
          </w:p>
        </w:tc>
        <w:tc>
          <w:tcPr>
            <w:tcW w:w="1257" w:type="dxa"/>
          </w:tcPr>
          <w:p w14:paraId="512963CB" w14:textId="77777777" w:rsidR="00286D77" w:rsidRDefault="00286D77" w:rsidP="00D90479">
            <w:r>
              <w:t>Mandatory</w:t>
            </w:r>
          </w:p>
        </w:tc>
        <w:tc>
          <w:tcPr>
            <w:tcW w:w="1517" w:type="dxa"/>
          </w:tcPr>
          <w:p w14:paraId="3BE651A4" w14:textId="77777777" w:rsidR="00286D77" w:rsidRDefault="00286D77" w:rsidP="00D90479">
            <w:r>
              <w:t>Best Practices</w:t>
            </w:r>
          </w:p>
        </w:tc>
        <w:tc>
          <w:tcPr>
            <w:tcW w:w="3719" w:type="dxa"/>
          </w:tcPr>
          <w:p w14:paraId="0DD6D3D4" w14:textId="77777777" w:rsidR="00286D77" w:rsidRPr="00B26500" w:rsidRDefault="00286D77" w:rsidP="00D90479">
            <w:pPr>
              <w:rPr>
                <w:rFonts w:eastAsia="Times New Roman"/>
              </w:rPr>
            </w:pPr>
            <w:r w:rsidRPr="00B26500">
              <w:rPr>
                <w:rFonts w:eastAsia="Times New Roman"/>
              </w:rPr>
              <w:t>Meets Authentication Requirements listed below</w:t>
            </w:r>
            <w:r w:rsidRPr="00B26500">
              <w:rPr>
                <w:rStyle w:val="EndnoteReference"/>
                <w:rFonts w:eastAsia="Times New Roman"/>
              </w:rPr>
              <w:endnoteReference w:id="2"/>
            </w:r>
            <w:r w:rsidRPr="00B26500">
              <w:rPr>
                <w:rFonts w:eastAsia="Times New Roman"/>
              </w:rPr>
              <w:t>.</w:t>
            </w:r>
          </w:p>
          <w:p w14:paraId="058917ED" w14:textId="77777777" w:rsidR="00286D77" w:rsidRPr="00421711" w:rsidRDefault="00286D77" w:rsidP="00D90479">
            <w:pPr>
              <w:rPr>
                <w:rFonts w:eastAsia="Times New Roman"/>
              </w:rPr>
            </w:pPr>
          </w:p>
        </w:tc>
        <w:tc>
          <w:tcPr>
            <w:tcW w:w="3869" w:type="dxa"/>
          </w:tcPr>
          <w:p w14:paraId="7767A381" w14:textId="77777777" w:rsidR="00286D77" w:rsidRPr="00157E8A" w:rsidRDefault="00286D77" w:rsidP="00D90479">
            <w:r>
              <w:t>All</w:t>
            </w:r>
          </w:p>
        </w:tc>
      </w:tr>
      <w:tr w:rsidR="00286D77" w14:paraId="2DF7D956" w14:textId="77777777" w:rsidTr="00D90479">
        <w:trPr>
          <w:cantSplit/>
        </w:trPr>
        <w:tc>
          <w:tcPr>
            <w:tcW w:w="428" w:type="dxa"/>
          </w:tcPr>
          <w:p w14:paraId="2233A495" w14:textId="77777777" w:rsidR="00286D77" w:rsidRDefault="00286D77" w:rsidP="00286D77">
            <w:pPr>
              <w:pStyle w:val="ListParagraph"/>
              <w:numPr>
                <w:ilvl w:val="0"/>
                <w:numId w:val="22"/>
              </w:numPr>
            </w:pPr>
          </w:p>
        </w:tc>
        <w:tc>
          <w:tcPr>
            <w:tcW w:w="1257" w:type="dxa"/>
          </w:tcPr>
          <w:p w14:paraId="323DBE4C" w14:textId="77777777" w:rsidR="00286D77" w:rsidRDefault="00286D77" w:rsidP="00D90479">
            <w:r>
              <w:t>Desired</w:t>
            </w:r>
          </w:p>
        </w:tc>
        <w:tc>
          <w:tcPr>
            <w:tcW w:w="1517" w:type="dxa"/>
          </w:tcPr>
          <w:p w14:paraId="05BA3F1B" w14:textId="77777777" w:rsidR="00286D77" w:rsidRDefault="00286D77" w:rsidP="00D90479">
            <w:r>
              <w:t>Practices</w:t>
            </w:r>
          </w:p>
        </w:tc>
        <w:tc>
          <w:tcPr>
            <w:tcW w:w="3719" w:type="dxa"/>
          </w:tcPr>
          <w:p w14:paraId="5513ABF3" w14:textId="77777777" w:rsidR="00286D77" w:rsidRPr="00D056C8" w:rsidRDefault="00286D77" w:rsidP="00D90479">
            <w:pPr>
              <w:rPr>
                <w:rFonts w:eastAsia="Times New Roman"/>
              </w:rPr>
            </w:pPr>
            <w:r w:rsidRPr="00D056C8">
              <w:rPr>
                <w:rFonts w:eastAsia="Times New Roman"/>
              </w:rPr>
              <w:t>Desktop application must not require admin privileges to be used by the end user of the application.</w:t>
            </w:r>
          </w:p>
          <w:p w14:paraId="6EB86B81" w14:textId="77777777" w:rsidR="00286D77" w:rsidRPr="00A9046A" w:rsidRDefault="00286D77" w:rsidP="00D90479">
            <w:pPr>
              <w:rPr>
                <w:rFonts w:eastAsia="Times New Roman"/>
              </w:rPr>
            </w:pPr>
          </w:p>
        </w:tc>
        <w:tc>
          <w:tcPr>
            <w:tcW w:w="3869" w:type="dxa"/>
          </w:tcPr>
          <w:p w14:paraId="34013916" w14:textId="77777777" w:rsidR="00286D77" w:rsidRPr="00157E8A" w:rsidRDefault="00286D77" w:rsidP="00D90479"/>
        </w:tc>
      </w:tr>
      <w:tr w:rsidR="00286D77" w14:paraId="3459C34F" w14:textId="77777777" w:rsidTr="00D90479">
        <w:trPr>
          <w:cantSplit/>
        </w:trPr>
        <w:tc>
          <w:tcPr>
            <w:tcW w:w="428" w:type="dxa"/>
          </w:tcPr>
          <w:p w14:paraId="185971A4" w14:textId="77777777" w:rsidR="00286D77" w:rsidRDefault="00286D77" w:rsidP="00286D77">
            <w:pPr>
              <w:pStyle w:val="ListParagraph"/>
              <w:numPr>
                <w:ilvl w:val="0"/>
                <w:numId w:val="22"/>
              </w:numPr>
            </w:pPr>
          </w:p>
        </w:tc>
        <w:tc>
          <w:tcPr>
            <w:tcW w:w="1257" w:type="dxa"/>
          </w:tcPr>
          <w:p w14:paraId="3A69594D" w14:textId="77777777" w:rsidR="00286D77" w:rsidRDefault="00286D77" w:rsidP="00D90479">
            <w:r>
              <w:t>Desired</w:t>
            </w:r>
          </w:p>
        </w:tc>
        <w:tc>
          <w:tcPr>
            <w:tcW w:w="1517" w:type="dxa"/>
          </w:tcPr>
          <w:p w14:paraId="7693A5B4" w14:textId="77777777" w:rsidR="00286D77" w:rsidRDefault="00286D77" w:rsidP="00D90479">
            <w:r>
              <w:t>Best Practices</w:t>
            </w:r>
          </w:p>
        </w:tc>
        <w:tc>
          <w:tcPr>
            <w:tcW w:w="3719" w:type="dxa"/>
          </w:tcPr>
          <w:p w14:paraId="1948D637" w14:textId="77777777" w:rsidR="00286D77" w:rsidRPr="00643EAE" w:rsidRDefault="00286D77" w:rsidP="00D90479">
            <w:pPr>
              <w:rPr>
                <w:rFonts w:eastAsia="Times New Roman"/>
              </w:rPr>
            </w:pPr>
            <w:r w:rsidRPr="00643EAE">
              <w:rPr>
                <w:rFonts w:eastAsia="Times New Roman"/>
              </w:rPr>
              <w:t>Solution supports Microsoft Azure’s Single-Sign-On through UM System’s Azure instance or LDAP.</w:t>
            </w:r>
          </w:p>
          <w:p w14:paraId="1A4EBE25" w14:textId="77777777" w:rsidR="00286D77" w:rsidRDefault="00286D77" w:rsidP="00D90479">
            <w:pPr>
              <w:rPr>
                <w:rFonts w:eastAsia="Times New Roman"/>
              </w:rPr>
            </w:pPr>
          </w:p>
        </w:tc>
        <w:tc>
          <w:tcPr>
            <w:tcW w:w="3869" w:type="dxa"/>
          </w:tcPr>
          <w:p w14:paraId="59E153D4" w14:textId="77777777" w:rsidR="00286D77" w:rsidRPr="00157E8A" w:rsidRDefault="00286D77" w:rsidP="00D90479">
            <w:r>
              <w:t>All</w:t>
            </w:r>
          </w:p>
        </w:tc>
      </w:tr>
      <w:tr w:rsidR="00286D77" w14:paraId="20F17F7A" w14:textId="77777777" w:rsidTr="00D90479">
        <w:trPr>
          <w:cantSplit/>
        </w:trPr>
        <w:tc>
          <w:tcPr>
            <w:tcW w:w="428" w:type="dxa"/>
          </w:tcPr>
          <w:p w14:paraId="72A678A0" w14:textId="77777777" w:rsidR="00286D77" w:rsidRDefault="00286D77" w:rsidP="00286D77">
            <w:pPr>
              <w:pStyle w:val="ListParagraph"/>
              <w:numPr>
                <w:ilvl w:val="0"/>
                <w:numId w:val="22"/>
              </w:numPr>
            </w:pPr>
          </w:p>
        </w:tc>
        <w:tc>
          <w:tcPr>
            <w:tcW w:w="1257" w:type="dxa"/>
          </w:tcPr>
          <w:p w14:paraId="776E848A" w14:textId="77777777" w:rsidR="00286D77" w:rsidRDefault="00286D77" w:rsidP="00D90479">
            <w:r>
              <w:t>Desired</w:t>
            </w:r>
          </w:p>
        </w:tc>
        <w:tc>
          <w:tcPr>
            <w:tcW w:w="1517" w:type="dxa"/>
          </w:tcPr>
          <w:p w14:paraId="65DF8A0E" w14:textId="77777777" w:rsidR="00286D77" w:rsidRDefault="00286D77" w:rsidP="00D90479">
            <w:r>
              <w:t>Practices</w:t>
            </w:r>
          </w:p>
        </w:tc>
        <w:tc>
          <w:tcPr>
            <w:tcW w:w="3719" w:type="dxa"/>
          </w:tcPr>
          <w:p w14:paraId="4BC038E4" w14:textId="77777777" w:rsidR="00286D77" w:rsidRPr="00D056C8" w:rsidRDefault="00286D77" w:rsidP="00D90479">
            <w:pPr>
              <w:rPr>
                <w:rFonts w:eastAsia="Times New Roman"/>
              </w:rPr>
            </w:pPr>
            <w:r>
              <w:rPr>
                <w:rFonts w:eastAsia="Times New Roman"/>
              </w:rPr>
              <w:t>Supports Allow-Listing of University IP address.</w:t>
            </w:r>
          </w:p>
        </w:tc>
        <w:tc>
          <w:tcPr>
            <w:tcW w:w="3869" w:type="dxa"/>
          </w:tcPr>
          <w:p w14:paraId="28535BB2" w14:textId="77777777" w:rsidR="00286D77" w:rsidRPr="00157E8A" w:rsidRDefault="00286D77" w:rsidP="00D90479">
            <w:r w:rsidRPr="00157E8A">
              <w:t>For solutions that involve cloud-based, web-based, or API components</w:t>
            </w:r>
            <w:r>
              <w:t>.</w:t>
            </w:r>
          </w:p>
        </w:tc>
      </w:tr>
    </w:tbl>
    <w:p w14:paraId="6BB42D8E" w14:textId="77777777" w:rsidR="00286D77" w:rsidRDefault="00286D77" w:rsidP="00286D77"/>
    <w:p w14:paraId="7A44904D" w14:textId="77777777" w:rsidR="00286D77" w:rsidRPr="009F428E" w:rsidRDefault="00286D77" w:rsidP="00286D77">
      <w:pPr>
        <w:rPr>
          <w:b/>
          <w:bCs/>
        </w:rPr>
      </w:pPr>
      <w:r w:rsidRPr="009F428E">
        <w:rPr>
          <w:b/>
          <w:bCs/>
        </w:rPr>
        <w:t>Non-Security Related</w:t>
      </w:r>
    </w:p>
    <w:tbl>
      <w:tblPr>
        <w:tblStyle w:val="TableGrid"/>
        <w:tblW w:w="0" w:type="auto"/>
        <w:tblLook w:val="04A0" w:firstRow="1" w:lastRow="0" w:firstColumn="1" w:lastColumn="0" w:noHBand="0" w:noVBand="1"/>
      </w:tblPr>
      <w:tblGrid>
        <w:gridCol w:w="374"/>
        <w:gridCol w:w="1244"/>
        <w:gridCol w:w="1457"/>
        <w:gridCol w:w="3106"/>
        <w:gridCol w:w="3169"/>
      </w:tblGrid>
      <w:tr w:rsidR="00286D77" w14:paraId="6951B423" w14:textId="77777777" w:rsidTr="00D90479">
        <w:tc>
          <w:tcPr>
            <w:tcW w:w="428" w:type="dxa"/>
            <w:shd w:val="clear" w:color="auto" w:fill="002060"/>
          </w:tcPr>
          <w:p w14:paraId="3360D395" w14:textId="77777777" w:rsidR="00286D77" w:rsidRDefault="00286D77" w:rsidP="00D90479"/>
        </w:tc>
        <w:tc>
          <w:tcPr>
            <w:tcW w:w="1257" w:type="dxa"/>
            <w:shd w:val="clear" w:color="auto" w:fill="002060"/>
          </w:tcPr>
          <w:p w14:paraId="24A1CD7A" w14:textId="77777777" w:rsidR="00286D77" w:rsidRDefault="00286D77" w:rsidP="00D90479">
            <w:r>
              <w:t>Type</w:t>
            </w:r>
          </w:p>
        </w:tc>
        <w:tc>
          <w:tcPr>
            <w:tcW w:w="1517" w:type="dxa"/>
            <w:shd w:val="clear" w:color="auto" w:fill="002060"/>
          </w:tcPr>
          <w:p w14:paraId="6E548CB2" w14:textId="77777777" w:rsidR="00286D77" w:rsidRDefault="00286D77" w:rsidP="00D90479">
            <w:r>
              <w:t>Category</w:t>
            </w:r>
          </w:p>
        </w:tc>
        <w:tc>
          <w:tcPr>
            <w:tcW w:w="3719" w:type="dxa"/>
            <w:shd w:val="clear" w:color="auto" w:fill="002060"/>
          </w:tcPr>
          <w:p w14:paraId="3CA67E87" w14:textId="77777777" w:rsidR="00286D77" w:rsidRDefault="00286D77" w:rsidP="00D90479">
            <w:r>
              <w:t>Requirement</w:t>
            </w:r>
          </w:p>
        </w:tc>
        <w:tc>
          <w:tcPr>
            <w:tcW w:w="3869" w:type="dxa"/>
            <w:shd w:val="clear" w:color="auto" w:fill="002060"/>
          </w:tcPr>
          <w:p w14:paraId="5A50D03E" w14:textId="77777777" w:rsidR="00286D77" w:rsidRDefault="00286D77" w:rsidP="00D90479">
            <w:r>
              <w:t>Conditions</w:t>
            </w:r>
          </w:p>
        </w:tc>
      </w:tr>
      <w:tr w:rsidR="00286D77" w14:paraId="2B4AFF29" w14:textId="77777777" w:rsidTr="00D90479">
        <w:tc>
          <w:tcPr>
            <w:tcW w:w="428" w:type="dxa"/>
          </w:tcPr>
          <w:p w14:paraId="7E7885D7" w14:textId="77777777" w:rsidR="00286D77" w:rsidRDefault="00286D77" w:rsidP="00286D77">
            <w:pPr>
              <w:pStyle w:val="ListParagraph"/>
              <w:numPr>
                <w:ilvl w:val="0"/>
                <w:numId w:val="22"/>
              </w:numPr>
            </w:pPr>
          </w:p>
        </w:tc>
        <w:tc>
          <w:tcPr>
            <w:tcW w:w="1257" w:type="dxa"/>
          </w:tcPr>
          <w:p w14:paraId="70B39538" w14:textId="77777777" w:rsidR="00286D77" w:rsidRDefault="00286D77" w:rsidP="00D90479">
            <w:r>
              <w:t>Mandatory</w:t>
            </w:r>
          </w:p>
        </w:tc>
        <w:tc>
          <w:tcPr>
            <w:tcW w:w="1517" w:type="dxa"/>
          </w:tcPr>
          <w:p w14:paraId="347078F6" w14:textId="77777777" w:rsidR="00286D77" w:rsidRDefault="00286D77" w:rsidP="00D90479">
            <w:r>
              <w:t>Integrations</w:t>
            </w:r>
          </w:p>
        </w:tc>
        <w:tc>
          <w:tcPr>
            <w:tcW w:w="3719" w:type="dxa"/>
          </w:tcPr>
          <w:p w14:paraId="59DD3355" w14:textId="77777777" w:rsidR="00286D77" w:rsidRDefault="00286D77" w:rsidP="00D90479">
            <w:r>
              <w:t>Solution</w:t>
            </w:r>
            <w:r w:rsidRPr="00BB0E29">
              <w:t xml:space="preserve"> supports integration to Oracle Electronic Medical Record (EMR) system.</w:t>
            </w:r>
          </w:p>
        </w:tc>
        <w:tc>
          <w:tcPr>
            <w:tcW w:w="3869" w:type="dxa"/>
          </w:tcPr>
          <w:p w14:paraId="1607260A" w14:textId="77777777" w:rsidR="00286D77" w:rsidRDefault="00286D77" w:rsidP="00D90479">
            <w:r>
              <w:t>All solutions requiring integration with MUHC EMR.</w:t>
            </w:r>
          </w:p>
        </w:tc>
      </w:tr>
    </w:tbl>
    <w:p w14:paraId="772BA434" w14:textId="77777777" w:rsidR="00286D77" w:rsidRDefault="00286D77" w:rsidP="00286D77">
      <w:pPr>
        <w:rPr>
          <w:b/>
          <w:bCs/>
        </w:rPr>
      </w:pPr>
    </w:p>
    <w:p w14:paraId="604756B3" w14:textId="77777777" w:rsidR="00286D77" w:rsidRPr="00666533" w:rsidRDefault="00286D77" w:rsidP="00286D77">
      <w:pPr>
        <w:rPr>
          <w:b/>
          <w:bCs/>
        </w:rPr>
      </w:pPr>
      <w:r w:rsidRPr="00666533">
        <w:rPr>
          <w:b/>
          <w:bCs/>
        </w:rPr>
        <w:t>Documentation Requested</w:t>
      </w:r>
    </w:p>
    <w:tbl>
      <w:tblPr>
        <w:tblStyle w:val="TableGrid"/>
        <w:tblW w:w="0" w:type="auto"/>
        <w:tblLook w:val="04A0" w:firstRow="1" w:lastRow="0" w:firstColumn="1" w:lastColumn="0" w:noHBand="0" w:noVBand="1"/>
      </w:tblPr>
      <w:tblGrid>
        <w:gridCol w:w="365"/>
        <w:gridCol w:w="1224"/>
        <w:gridCol w:w="1604"/>
        <w:gridCol w:w="3063"/>
        <w:gridCol w:w="3094"/>
      </w:tblGrid>
      <w:tr w:rsidR="00286D77" w14:paraId="06D90333" w14:textId="77777777" w:rsidTr="00D90479">
        <w:tc>
          <w:tcPr>
            <w:tcW w:w="425" w:type="dxa"/>
            <w:shd w:val="clear" w:color="auto" w:fill="002060"/>
          </w:tcPr>
          <w:p w14:paraId="2BD5FBF4" w14:textId="77777777" w:rsidR="00286D77" w:rsidRDefault="00286D77" w:rsidP="00D90479"/>
        </w:tc>
        <w:tc>
          <w:tcPr>
            <w:tcW w:w="1251" w:type="dxa"/>
            <w:shd w:val="clear" w:color="auto" w:fill="002060"/>
          </w:tcPr>
          <w:p w14:paraId="4B2F7AD5" w14:textId="77777777" w:rsidR="00286D77" w:rsidRDefault="00286D77" w:rsidP="00D90479">
            <w:r>
              <w:t>Type</w:t>
            </w:r>
          </w:p>
        </w:tc>
        <w:tc>
          <w:tcPr>
            <w:tcW w:w="1604" w:type="dxa"/>
            <w:shd w:val="clear" w:color="auto" w:fill="002060"/>
          </w:tcPr>
          <w:p w14:paraId="77882A3F" w14:textId="77777777" w:rsidR="00286D77" w:rsidRDefault="00286D77" w:rsidP="00D90479">
            <w:r>
              <w:t>Category</w:t>
            </w:r>
          </w:p>
        </w:tc>
        <w:tc>
          <w:tcPr>
            <w:tcW w:w="3683" w:type="dxa"/>
            <w:shd w:val="clear" w:color="auto" w:fill="002060"/>
          </w:tcPr>
          <w:p w14:paraId="3DC9B02B" w14:textId="77777777" w:rsidR="00286D77" w:rsidRDefault="00286D77" w:rsidP="00D90479">
            <w:r>
              <w:t>Requirement</w:t>
            </w:r>
          </w:p>
        </w:tc>
        <w:tc>
          <w:tcPr>
            <w:tcW w:w="3827" w:type="dxa"/>
            <w:shd w:val="clear" w:color="auto" w:fill="002060"/>
          </w:tcPr>
          <w:p w14:paraId="7D783011" w14:textId="77777777" w:rsidR="00286D77" w:rsidRDefault="00286D77" w:rsidP="00D90479">
            <w:r>
              <w:t>Conditions</w:t>
            </w:r>
          </w:p>
        </w:tc>
      </w:tr>
      <w:tr w:rsidR="00286D77" w14:paraId="0D5175E2" w14:textId="77777777" w:rsidTr="00D90479">
        <w:tc>
          <w:tcPr>
            <w:tcW w:w="425" w:type="dxa"/>
          </w:tcPr>
          <w:p w14:paraId="4E5C7B4A" w14:textId="77777777" w:rsidR="00286D77" w:rsidRDefault="00286D77" w:rsidP="00286D77">
            <w:pPr>
              <w:pStyle w:val="ListParagraph"/>
              <w:numPr>
                <w:ilvl w:val="0"/>
                <w:numId w:val="22"/>
              </w:numPr>
            </w:pPr>
          </w:p>
        </w:tc>
        <w:tc>
          <w:tcPr>
            <w:tcW w:w="1251" w:type="dxa"/>
          </w:tcPr>
          <w:p w14:paraId="4CF2B5D3" w14:textId="77777777" w:rsidR="00286D77" w:rsidRDefault="00286D77" w:rsidP="00D90479">
            <w:r>
              <w:t>Requested</w:t>
            </w:r>
          </w:p>
        </w:tc>
        <w:tc>
          <w:tcPr>
            <w:tcW w:w="1604" w:type="dxa"/>
          </w:tcPr>
          <w:p w14:paraId="163647BB" w14:textId="77777777" w:rsidR="00286D77" w:rsidRDefault="00286D77" w:rsidP="00D90479">
            <w:r>
              <w:t>Documentation</w:t>
            </w:r>
          </w:p>
        </w:tc>
        <w:tc>
          <w:tcPr>
            <w:tcW w:w="3683" w:type="dxa"/>
          </w:tcPr>
          <w:p w14:paraId="3B6A8FE0" w14:textId="77777777" w:rsidR="00286D77" w:rsidRDefault="00286D77" w:rsidP="00286D77">
            <w:pPr>
              <w:pStyle w:val="ListParagraph"/>
              <w:numPr>
                <w:ilvl w:val="0"/>
                <w:numId w:val="25"/>
              </w:numPr>
              <w:rPr>
                <w:rFonts w:eastAsia="Times New Roman"/>
              </w:rPr>
            </w:pPr>
            <w:r w:rsidRPr="004E0CD4">
              <w:rPr>
                <w:rFonts w:eastAsia="Times New Roman"/>
              </w:rPr>
              <w:t xml:space="preserve">Provide a general description of how the solution will be used. </w:t>
            </w:r>
          </w:p>
          <w:p w14:paraId="021E4E09" w14:textId="77777777" w:rsidR="00286D77" w:rsidRDefault="00286D77" w:rsidP="00286D77">
            <w:pPr>
              <w:pStyle w:val="ListParagraph"/>
              <w:numPr>
                <w:ilvl w:val="0"/>
                <w:numId w:val="25"/>
              </w:numPr>
              <w:rPr>
                <w:rFonts w:eastAsia="Times New Roman"/>
              </w:rPr>
            </w:pPr>
            <w:r w:rsidRPr="004E0CD4">
              <w:rPr>
                <w:rFonts w:eastAsia="Times New Roman"/>
              </w:rPr>
              <w:lastRenderedPageBreak/>
              <w:t xml:space="preserve">For clinical use, describe what clinical procedures or type of patients. </w:t>
            </w:r>
          </w:p>
          <w:p w14:paraId="5FA45196" w14:textId="77777777" w:rsidR="00286D77" w:rsidRDefault="00286D77" w:rsidP="00286D77">
            <w:pPr>
              <w:pStyle w:val="ListParagraph"/>
              <w:numPr>
                <w:ilvl w:val="0"/>
                <w:numId w:val="25"/>
              </w:numPr>
              <w:rPr>
                <w:rFonts w:eastAsia="Times New Roman"/>
              </w:rPr>
            </w:pPr>
            <w:r w:rsidRPr="004E0CD4">
              <w:rPr>
                <w:rFonts w:eastAsia="Times New Roman"/>
              </w:rPr>
              <w:t>For operational use, describe workflows, business processes, or analytic capabilities the solution provides.</w:t>
            </w:r>
          </w:p>
        </w:tc>
        <w:tc>
          <w:tcPr>
            <w:tcW w:w="3827" w:type="dxa"/>
          </w:tcPr>
          <w:p w14:paraId="3DDAC8AD" w14:textId="77777777" w:rsidR="00286D77" w:rsidRDefault="00286D77" w:rsidP="00D90479">
            <w:r>
              <w:lastRenderedPageBreak/>
              <w:t>All</w:t>
            </w:r>
          </w:p>
        </w:tc>
      </w:tr>
      <w:tr w:rsidR="00286D77" w14:paraId="0BF0C636" w14:textId="77777777" w:rsidTr="00D90479">
        <w:tc>
          <w:tcPr>
            <w:tcW w:w="425" w:type="dxa"/>
          </w:tcPr>
          <w:p w14:paraId="09241B33" w14:textId="77777777" w:rsidR="00286D77" w:rsidRDefault="00286D77" w:rsidP="00286D77">
            <w:pPr>
              <w:pStyle w:val="ListParagraph"/>
              <w:numPr>
                <w:ilvl w:val="0"/>
                <w:numId w:val="22"/>
              </w:numPr>
            </w:pPr>
          </w:p>
        </w:tc>
        <w:tc>
          <w:tcPr>
            <w:tcW w:w="1251" w:type="dxa"/>
          </w:tcPr>
          <w:p w14:paraId="49341A91" w14:textId="77777777" w:rsidR="00286D77" w:rsidRDefault="00286D77" w:rsidP="00D90479">
            <w:r w:rsidRPr="00563123">
              <w:t>Requested</w:t>
            </w:r>
          </w:p>
        </w:tc>
        <w:tc>
          <w:tcPr>
            <w:tcW w:w="1604" w:type="dxa"/>
          </w:tcPr>
          <w:p w14:paraId="6EEBF880" w14:textId="77777777" w:rsidR="00286D77" w:rsidRDefault="00286D77" w:rsidP="00D90479">
            <w:r>
              <w:t>Documentation</w:t>
            </w:r>
          </w:p>
        </w:tc>
        <w:tc>
          <w:tcPr>
            <w:tcW w:w="3683" w:type="dxa"/>
          </w:tcPr>
          <w:p w14:paraId="6DA93FCE" w14:textId="77777777" w:rsidR="00286D77" w:rsidRDefault="00286D77" w:rsidP="00D90479">
            <w:pPr>
              <w:rPr>
                <w:rFonts w:eastAsia="Times New Roman"/>
              </w:rPr>
            </w:pPr>
            <w:r>
              <w:rPr>
                <w:rFonts w:eastAsia="Times New Roman"/>
              </w:rPr>
              <w:t>Where multiple subscriptions and options exist, provide a list specific subscription and options are included in RFP (or reference which document has information).</w:t>
            </w:r>
          </w:p>
        </w:tc>
        <w:tc>
          <w:tcPr>
            <w:tcW w:w="3827" w:type="dxa"/>
          </w:tcPr>
          <w:p w14:paraId="1101C50A" w14:textId="77777777" w:rsidR="00286D77" w:rsidRDefault="00286D77" w:rsidP="00D90479">
            <w:r>
              <w:t>All</w:t>
            </w:r>
          </w:p>
        </w:tc>
      </w:tr>
      <w:tr w:rsidR="00286D77" w14:paraId="1E80D32E" w14:textId="77777777" w:rsidTr="00D90479">
        <w:tc>
          <w:tcPr>
            <w:tcW w:w="425" w:type="dxa"/>
          </w:tcPr>
          <w:p w14:paraId="2EF0B439" w14:textId="77777777" w:rsidR="00286D77" w:rsidRDefault="00286D77" w:rsidP="00286D77">
            <w:pPr>
              <w:pStyle w:val="ListParagraph"/>
              <w:numPr>
                <w:ilvl w:val="0"/>
                <w:numId w:val="22"/>
              </w:numPr>
            </w:pPr>
          </w:p>
        </w:tc>
        <w:tc>
          <w:tcPr>
            <w:tcW w:w="1251" w:type="dxa"/>
          </w:tcPr>
          <w:p w14:paraId="633EC7CC" w14:textId="77777777" w:rsidR="00286D77" w:rsidRDefault="00286D77" w:rsidP="00D90479">
            <w:r w:rsidRPr="00563123">
              <w:t>Requested</w:t>
            </w:r>
          </w:p>
        </w:tc>
        <w:tc>
          <w:tcPr>
            <w:tcW w:w="1604" w:type="dxa"/>
          </w:tcPr>
          <w:p w14:paraId="7A83B5D2" w14:textId="77777777" w:rsidR="00286D77" w:rsidRDefault="00286D77" w:rsidP="00D90479">
            <w:r>
              <w:t>Documentation</w:t>
            </w:r>
          </w:p>
        </w:tc>
        <w:tc>
          <w:tcPr>
            <w:tcW w:w="3683" w:type="dxa"/>
          </w:tcPr>
          <w:p w14:paraId="29E33BE4" w14:textId="77777777" w:rsidR="00286D77" w:rsidRDefault="00286D77" w:rsidP="00D90479">
            <w:r>
              <w:rPr>
                <w:rFonts w:eastAsia="Times New Roman"/>
              </w:rPr>
              <w:t>Documentation of Azure Application Registrations or service accounts, including permissions that are needed.</w:t>
            </w:r>
          </w:p>
        </w:tc>
        <w:tc>
          <w:tcPr>
            <w:tcW w:w="3827" w:type="dxa"/>
          </w:tcPr>
          <w:p w14:paraId="0D7D6463" w14:textId="77777777" w:rsidR="00286D77" w:rsidRDefault="00286D77" w:rsidP="00D90479">
            <w:r>
              <w:t>For solutions requiring Application Registrations or service accounts.</w:t>
            </w:r>
          </w:p>
        </w:tc>
      </w:tr>
      <w:tr w:rsidR="00286D77" w14:paraId="13EEA320" w14:textId="77777777" w:rsidTr="00D90479">
        <w:tc>
          <w:tcPr>
            <w:tcW w:w="425" w:type="dxa"/>
          </w:tcPr>
          <w:p w14:paraId="4F323B71" w14:textId="77777777" w:rsidR="00286D77" w:rsidRDefault="00286D77" w:rsidP="00286D77">
            <w:pPr>
              <w:pStyle w:val="ListParagraph"/>
              <w:numPr>
                <w:ilvl w:val="0"/>
                <w:numId w:val="22"/>
              </w:numPr>
            </w:pPr>
          </w:p>
        </w:tc>
        <w:tc>
          <w:tcPr>
            <w:tcW w:w="1251" w:type="dxa"/>
          </w:tcPr>
          <w:p w14:paraId="551F2C93" w14:textId="77777777" w:rsidR="00286D77" w:rsidRDefault="00286D77" w:rsidP="00D90479">
            <w:r w:rsidRPr="00563123">
              <w:t>Requested</w:t>
            </w:r>
          </w:p>
        </w:tc>
        <w:tc>
          <w:tcPr>
            <w:tcW w:w="1604" w:type="dxa"/>
          </w:tcPr>
          <w:p w14:paraId="27FDEB08" w14:textId="77777777" w:rsidR="00286D77" w:rsidRDefault="00286D77" w:rsidP="00D90479">
            <w:r>
              <w:t>Documentation</w:t>
            </w:r>
          </w:p>
        </w:tc>
        <w:tc>
          <w:tcPr>
            <w:tcW w:w="3683" w:type="dxa"/>
          </w:tcPr>
          <w:p w14:paraId="532E4D66" w14:textId="77777777" w:rsidR="00286D77" w:rsidRDefault="00286D77" w:rsidP="00D90479">
            <w:pPr>
              <w:rPr>
                <w:rFonts w:eastAsia="Times New Roman"/>
              </w:rPr>
            </w:pPr>
            <w:r>
              <w:rPr>
                <w:rFonts w:eastAsia="Times New Roman"/>
              </w:rPr>
              <w:t>Inventory of desktop-based software, modules, or add-ons, with documentation on what permissions are needed to install or run the application.</w:t>
            </w:r>
          </w:p>
        </w:tc>
        <w:tc>
          <w:tcPr>
            <w:tcW w:w="3827" w:type="dxa"/>
          </w:tcPr>
          <w:p w14:paraId="325C2470" w14:textId="77777777" w:rsidR="00286D77" w:rsidRDefault="00286D77" w:rsidP="00D90479">
            <w:r>
              <w:t>For solutions that require desktop software to be installed.</w:t>
            </w:r>
          </w:p>
        </w:tc>
      </w:tr>
      <w:tr w:rsidR="00286D77" w14:paraId="62DB8D50" w14:textId="77777777" w:rsidTr="00D90479">
        <w:tc>
          <w:tcPr>
            <w:tcW w:w="425" w:type="dxa"/>
          </w:tcPr>
          <w:p w14:paraId="44F4AC36" w14:textId="77777777" w:rsidR="00286D77" w:rsidRDefault="00286D77" w:rsidP="00286D77">
            <w:pPr>
              <w:pStyle w:val="ListParagraph"/>
              <w:numPr>
                <w:ilvl w:val="0"/>
                <w:numId w:val="22"/>
              </w:numPr>
            </w:pPr>
          </w:p>
        </w:tc>
        <w:tc>
          <w:tcPr>
            <w:tcW w:w="1251" w:type="dxa"/>
          </w:tcPr>
          <w:p w14:paraId="797F662F" w14:textId="77777777" w:rsidR="00286D77" w:rsidRDefault="00286D77" w:rsidP="00D90479">
            <w:r w:rsidRPr="00563123">
              <w:t>Requested</w:t>
            </w:r>
          </w:p>
        </w:tc>
        <w:tc>
          <w:tcPr>
            <w:tcW w:w="1604" w:type="dxa"/>
          </w:tcPr>
          <w:p w14:paraId="27801FB9" w14:textId="77777777" w:rsidR="00286D77" w:rsidRDefault="00286D77" w:rsidP="00D90479">
            <w:r>
              <w:t>Documentation</w:t>
            </w:r>
          </w:p>
        </w:tc>
        <w:tc>
          <w:tcPr>
            <w:tcW w:w="3683" w:type="dxa"/>
          </w:tcPr>
          <w:p w14:paraId="794DBF6A" w14:textId="77777777" w:rsidR="00286D77" w:rsidRDefault="00286D77" w:rsidP="00D90479">
            <w:pPr>
              <w:rPr>
                <w:rFonts w:eastAsia="Times New Roman"/>
              </w:rPr>
            </w:pPr>
            <w:r>
              <w:rPr>
                <w:rFonts w:eastAsia="Times New Roman"/>
              </w:rPr>
              <w:t>L</w:t>
            </w:r>
            <w:r w:rsidRPr="00F205AF">
              <w:rPr>
                <w:rFonts w:eastAsia="Times New Roman"/>
              </w:rPr>
              <w:t>ist of all user-facing access points to the solution, such as web portals, mobile applications, or other interfaces. This does not require detailing every individual screen or page. The goal is to provide a clear understanding of each unique method by which users</w:t>
            </w:r>
            <w:r>
              <w:rPr>
                <w:rFonts w:eastAsia="Times New Roman"/>
              </w:rPr>
              <w:t xml:space="preserve">, </w:t>
            </w:r>
            <w:r w:rsidRPr="00F205AF">
              <w:rPr>
                <w:rFonts w:eastAsia="Times New Roman"/>
              </w:rPr>
              <w:t>whether patients, providers, or administrators</w:t>
            </w:r>
            <w:r>
              <w:rPr>
                <w:rFonts w:eastAsia="Times New Roman"/>
              </w:rPr>
              <w:t xml:space="preserve">, </w:t>
            </w:r>
            <w:r w:rsidRPr="00F205AF">
              <w:rPr>
                <w:rFonts w:eastAsia="Times New Roman"/>
              </w:rPr>
              <w:t xml:space="preserve">can access the system. </w:t>
            </w:r>
          </w:p>
        </w:tc>
        <w:tc>
          <w:tcPr>
            <w:tcW w:w="3827" w:type="dxa"/>
          </w:tcPr>
          <w:p w14:paraId="36B54317" w14:textId="77777777" w:rsidR="00286D77" w:rsidRDefault="00286D77" w:rsidP="00D90479">
            <w:r>
              <w:t>All</w:t>
            </w:r>
          </w:p>
        </w:tc>
      </w:tr>
      <w:tr w:rsidR="00286D77" w14:paraId="05304AE7" w14:textId="77777777" w:rsidTr="00D90479">
        <w:tc>
          <w:tcPr>
            <w:tcW w:w="425" w:type="dxa"/>
          </w:tcPr>
          <w:p w14:paraId="1BC92C9A" w14:textId="77777777" w:rsidR="00286D77" w:rsidRDefault="00286D77" w:rsidP="00286D77">
            <w:pPr>
              <w:pStyle w:val="ListParagraph"/>
              <w:numPr>
                <w:ilvl w:val="0"/>
                <w:numId w:val="22"/>
              </w:numPr>
            </w:pPr>
          </w:p>
        </w:tc>
        <w:tc>
          <w:tcPr>
            <w:tcW w:w="1251" w:type="dxa"/>
          </w:tcPr>
          <w:p w14:paraId="0FC0D110" w14:textId="77777777" w:rsidR="00286D77" w:rsidRDefault="00286D77" w:rsidP="00D90479">
            <w:r w:rsidRPr="00563123">
              <w:t>Requested</w:t>
            </w:r>
          </w:p>
        </w:tc>
        <w:tc>
          <w:tcPr>
            <w:tcW w:w="1604" w:type="dxa"/>
          </w:tcPr>
          <w:p w14:paraId="7321005E" w14:textId="77777777" w:rsidR="00286D77" w:rsidRDefault="00286D77" w:rsidP="00D90479">
            <w:r>
              <w:t>Documentation</w:t>
            </w:r>
          </w:p>
        </w:tc>
        <w:tc>
          <w:tcPr>
            <w:tcW w:w="3683" w:type="dxa"/>
          </w:tcPr>
          <w:p w14:paraId="541800C5" w14:textId="77777777" w:rsidR="00286D77" w:rsidRDefault="00286D77" w:rsidP="00D90479">
            <w:pPr>
              <w:rPr>
                <w:rFonts w:eastAsia="Times New Roman"/>
              </w:rPr>
            </w:pPr>
            <w:r>
              <w:rPr>
                <w:rFonts w:eastAsia="Times New Roman"/>
              </w:rPr>
              <w:t>Network requirements, including, but not limited to firewall rules.</w:t>
            </w:r>
          </w:p>
        </w:tc>
        <w:tc>
          <w:tcPr>
            <w:tcW w:w="3827" w:type="dxa"/>
          </w:tcPr>
          <w:p w14:paraId="37E271B0" w14:textId="77777777" w:rsidR="00286D77" w:rsidRDefault="00286D77" w:rsidP="00D90479">
            <w:r>
              <w:t>All</w:t>
            </w:r>
          </w:p>
        </w:tc>
      </w:tr>
      <w:tr w:rsidR="00286D77" w14:paraId="202A5411" w14:textId="77777777" w:rsidTr="00D90479">
        <w:tc>
          <w:tcPr>
            <w:tcW w:w="425" w:type="dxa"/>
          </w:tcPr>
          <w:p w14:paraId="28B62ADB" w14:textId="77777777" w:rsidR="00286D77" w:rsidRDefault="00286D77" w:rsidP="00286D77">
            <w:pPr>
              <w:pStyle w:val="ListParagraph"/>
              <w:numPr>
                <w:ilvl w:val="0"/>
                <w:numId w:val="22"/>
              </w:numPr>
            </w:pPr>
          </w:p>
        </w:tc>
        <w:tc>
          <w:tcPr>
            <w:tcW w:w="1251" w:type="dxa"/>
          </w:tcPr>
          <w:p w14:paraId="6F96CA1B" w14:textId="77777777" w:rsidR="00286D77" w:rsidRPr="00563123" w:rsidRDefault="00286D77" w:rsidP="00D90479">
            <w:r>
              <w:t>Requested</w:t>
            </w:r>
          </w:p>
        </w:tc>
        <w:tc>
          <w:tcPr>
            <w:tcW w:w="1604" w:type="dxa"/>
          </w:tcPr>
          <w:p w14:paraId="06D450A5" w14:textId="77777777" w:rsidR="00286D77" w:rsidRDefault="00286D77" w:rsidP="00D90479">
            <w:r>
              <w:t>Documentation</w:t>
            </w:r>
          </w:p>
        </w:tc>
        <w:tc>
          <w:tcPr>
            <w:tcW w:w="3683" w:type="dxa"/>
          </w:tcPr>
          <w:p w14:paraId="1A266D89" w14:textId="77777777" w:rsidR="00286D77" w:rsidRDefault="00286D77" w:rsidP="00D90479">
            <w:pPr>
              <w:rPr>
                <w:rFonts w:eastAsia="Times New Roman"/>
              </w:rPr>
            </w:pPr>
            <w:r>
              <w:rPr>
                <w:rFonts w:eastAsia="Times New Roman"/>
              </w:rPr>
              <w:t>Describe solution’s backup methodology.</w:t>
            </w:r>
          </w:p>
        </w:tc>
        <w:tc>
          <w:tcPr>
            <w:tcW w:w="3827" w:type="dxa"/>
          </w:tcPr>
          <w:p w14:paraId="4F44DEF6" w14:textId="77777777" w:rsidR="00286D77" w:rsidRDefault="00286D77" w:rsidP="00D90479"/>
        </w:tc>
      </w:tr>
      <w:tr w:rsidR="00286D77" w14:paraId="3C569F94" w14:textId="77777777" w:rsidTr="00D90479">
        <w:tc>
          <w:tcPr>
            <w:tcW w:w="425" w:type="dxa"/>
          </w:tcPr>
          <w:p w14:paraId="12E7DBB5" w14:textId="77777777" w:rsidR="00286D77" w:rsidRDefault="00286D77" w:rsidP="00286D77">
            <w:pPr>
              <w:pStyle w:val="ListParagraph"/>
              <w:numPr>
                <w:ilvl w:val="0"/>
                <w:numId w:val="22"/>
              </w:numPr>
            </w:pPr>
          </w:p>
        </w:tc>
        <w:tc>
          <w:tcPr>
            <w:tcW w:w="1251" w:type="dxa"/>
          </w:tcPr>
          <w:p w14:paraId="63E465D3" w14:textId="77777777" w:rsidR="00286D77" w:rsidRDefault="00286D77" w:rsidP="00D90479">
            <w:r w:rsidRPr="00563123">
              <w:t>Requested</w:t>
            </w:r>
          </w:p>
        </w:tc>
        <w:tc>
          <w:tcPr>
            <w:tcW w:w="1604" w:type="dxa"/>
          </w:tcPr>
          <w:p w14:paraId="4C233CE6" w14:textId="77777777" w:rsidR="00286D77" w:rsidRDefault="00286D77" w:rsidP="00D90479">
            <w:r>
              <w:t>Documentation</w:t>
            </w:r>
          </w:p>
        </w:tc>
        <w:tc>
          <w:tcPr>
            <w:tcW w:w="3683" w:type="dxa"/>
          </w:tcPr>
          <w:p w14:paraId="7EE416F2" w14:textId="77777777" w:rsidR="00286D77" w:rsidRDefault="00286D77" w:rsidP="00D90479">
            <w:pPr>
              <w:rPr>
                <w:rFonts w:eastAsia="Times New Roman"/>
              </w:rPr>
            </w:pPr>
            <w:r>
              <w:rPr>
                <w:rFonts w:eastAsia="Times New Roman"/>
              </w:rPr>
              <w:t xml:space="preserve">Recovery Time Objective - </w:t>
            </w:r>
            <w:r w:rsidRPr="000C7A6F">
              <w:rPr>
                <w:rFonts w:eastAsia="Times New Roman"/>
              </w:rPr>
              <w:t xml:space="preserve">specify the maximum acceptable amount of time the solution may be unavailable during a disruption before normal operations are restored, </w:t>
            </w:r>
            <w:r w:rsidRPr="000C7A6F">
              <w:rPr>
                <w:rFonts w:eastAsia="Times New Roman"/>
              </w:rPr>
              <w:lastRenderedPageBreak/>
              <w:t>in alignment with the defined Recovery Time Objective (RTO).</w:t>
            </w:r>
          </w:p>
        </w:tc>
        <w:tc>
          <w:tcPr>
            <w:tcW w:w="3827" w:type="dxa"/>
          </w:tcPr>
          <w:p w14:paraId="0F51487D" w14:textId="77777777" w:rsidR="00286D77" w:rsidRDefault="00286D77" w:rsidP="00D90479">
            <w:r>
              <w:lastRenderedPageBreak/>
              <w:t>S</w:t>
            </w:r>
            <w:r w:rsidRPr="00250567">
              <w:t>olutions that are fully or partially hosted by the vendor, or where the vendor stores, processes, creates, receives, or transmits MUHC data.</w:t>
            </w:r>
          </w:p>
        </w:tc>
      </w:tr>
      <w:tr w:rsidR="00286D77" w14:paraId="78364654" w14:textId="77777777" w:rsidTr="00D90479">
        <w:tc>
          <w:tcPr>
            <w:tcW w:w="425" w:type="dxa"/>
          </w:tcPr>
          <w:p w14:paraId="6234C522" w14:textId="77777777" w:rsidR="00286D77" w:rsidRDefault="00286D77" w:rsidP="00286D77">
            <w:pPr>
              <w:pStyle w:val="ListParagraph"/>
              <w:numPr>
                <w:ilvl w:val="0"/>
                <w:numId w:val="22"/>
              </w:numPr>
            </w:pPr>
          </w:p>
        </w:tc>
        <w:tc>
          <w:tcPr>
            <w:tcW w:w="1251" w:type="dxa"/>
          </w:tcPr>
          <w:p w14:paraId="1D7B976C" w14:textId="77777777" w:rsidR="00286D77" w:rsidRDefault="00286D77" w:rsidP="00D90479">
            <w:r w:rsidRPr="00563123">
              <w:t>Requested</w:t>
            </w:r>
          </w:p>
        </w:tc>
        <w:tc>
          <w:tcPr>
            <w:tcW w:w="1604" w:type="dxa"/>
          </w:tcPr>
          <w:p w14:paraId="296CDD8E" w14:textId="77777777" w:rsidR="00286D77" w:rsidRDefault="00286D77" w:rsidP="00D90479">
            <w:r>
              <w:t>Documentation</w:t>
            </w:r>
          </w:p>
        </w:tc>
        <w:tc>
          <w:tcPr>
            <w:tcW w:w="3683" w:type="dxa"/>
          </w:tcPr>
          <w:p w14:paraId="507C69D3" w14:textId="77777777" w:rsidR="00286D77" w:rsidRDefault="00286D77" w:rsidP="00D90479">
            <w:pPr>
              <w:rPr>
                <w:rFonts w:eastAsia="Times New Roman"/>
              </w:rPr>
            </w:pPr>
            <w:r>
              <w:rPr>
                <w:rFonts w:eastAsia="Times New Roman"/>
              </w:rPr>
              <w:t>Documentation on how the vendor intends to meet and how they have tested the RTO?</w:t>
            </w:r>
          </w:p>
        </w:tc>
        <w:tc>
          <w:tcPr>
            <w:tcW w:w="3827" w:type="dxa"/>
          </w:tcPr>
          <w:p w14:paraId="4FF4AA4E" w14:textId="77777777" w:rsidR="00286D77" w:rsidRDefault="00286D77" w:rsidP="00D90479">
            <w:r>
              <w:t>S</w:t>
            </w:r>
            <w:r w:rsidRPr="00250567">
              <w:t>olutions that are fully or partially hosted by the vendor, or where the vendor stores, processes, creates, receives, or transmits MUHC data.</w:t>
            </w:r>
          </w:p>
        </w:tc>
      </w:tr>
      <w:tr w:rsidR="00286D77" w14:paraId="52A33052" w14:textId="77777777" w:rsidTr="00D90479">
        <w:tc>
          <w:tcPr>
            <w:tcW w:w="425" w:type="dxa"/>
          </w:tcPr>
          <w:p w14:paraId="5534F61B" w14:textId="77777777" w:rsidR="00286D77" w:rsidRDefault="00286D77" w:rsidP="00286D77">
            <w:pPr>
              <w:pStyle w:val="ListParagraph"/>
              <w:numPr>
                <w:ilvl w:val="0"/>
                <w:numId w:val="22"/>
              </w:numPr>
            </w:pPr>
          </w:p>
        </w:tc>
        <w:tc>
          <w:tcPr>
            <w:tcW w:w="1251" w:type="dxa"/>
          </w:tcPr>
          <w:p w14:paraId="6BD251BB" w14:textId="77777777" w:rsidR="00286D77" w:rsidRDefault="00286D77" w:rsidP="00D90479">
            <w:r w:rsidRPr="00563123">
              <w:t>Requested</w:t>
            </w:r>
          </w:p>
        </w:tc>
        <w:tc>
          <w:tcPr>
            <w:tcW w:w="1604" w:type="dxa"/>
          </w:tcPr>
          <w:p w14:paraId="7E9670A9" w14:textId="77777777" w:rsidR="00286D77" w:rsidRDefault="00286D77" w:rsidP="00D90479">
            <w:r>
              <w:t>Documentation</w:t>
            </w:r>
          </w:p>
        </w:tc>
        <w:tc>
          <w:tcPr>
            <w:tcW w:w="3683" w:type="dxa"/>
          </w:tcPr>
          <w:p w14:paraId="6C6CFBCD" w14:textId="77777777" w:rsidR="00286D77" w:rsidRDefault="00286D77" w:rsidP="00D90479">
            <w:pPr>
              <w:rPr>
                <w:rFonts w:eastAsia="Times New Roman"/>
              </w:rPr>
            </w:pPr>
            <w:r>
              <w:rPr>
                <w:rFonts w:eastAsia="Times New Roman"/>
              </w:rPr>
              <w:t>Recovery Point Objective – specify t</w:t>
            </w:r>
            <w:r w:rsidRPr="005E5929">
              <w:rPr>
                <w:rFonts w:eastAsia="Times New Roman"/>
              </w:rPr>
              <w:t>he maximum acceptable amount of data loss measured in time</w:t>
            </w:r>
            <w:r>
              <w:rPr>
                <w:rFonts w:eastAsia="Times New Roman"/>
              </w:rPr>
              <w:t xml:space="preserve"> (</w:t>
            </w:r>
            <w:r w:rsidRPr="005E5929">
              <w:rPr>
                <w:rFonts w:eastAsia="Times New Roman"/>
              </w:rPr>
              <w:t>i.e., the point in time to which data must be restored following a disruption</w:t>
            </w:r>
            <w:r>
              <w:rPr>
                <w:rFonts w:eastAsia="Times New Roman"/>
              </w:rPr>
              <w:t xml:space="preserve">) </w:t>
            </w:r>
            <w:r w:rsidRPr="005E5929">
              <w:rPr>
                <w:rFonts w:eastAsia="Times New Roman"/>
              </w:rPr>
              <w:t>in accordance with the solution’s Recovery Point Objective (RPO).</w:t>
            </w:r>
          </w:p>
        </w:tc>
        <w:tc>
          <w:tcPr>
            <w:tcW w:w="3827" w:type="dxa"/>
          </w:tcPr>
          <w:p w14:paraId="2C04E3C8" w14:textId="77777777" w:rsidR="00286D77" w:rsidRDefault="00286D77" w:rsidP="00D90479">
            <w:r>
              <w:t>S</w:t>
            </w:r>
            <w:r w:rsidRPr="00250567">
              <w:t>olutions that are fully or partially hosted by the vendor, or where the vendor stores, processes, creates, receives, or transmits MUHC data.</w:t>
            </w:r>
          </w:p>
        </w:tc>
      </w:tr>
      <w:tr w:rsidR="00286D77" w14:paraId="413B31E7" w14:textId="77777777" w:rsidTr="00D90479">
        <w:tc>
          <w:tcPr>
            <w:tcW w:w="425" w:type="dxa"/>
          </w:tcPr>
          <w:p w14:paraId="59818A43" w14:textId="77777777" w:rsidR="00286D77" w:rsidRDefault="00286D77" w:rsidP="00286D77">
            <w:pPr>
              <w:pStyle w:val="ListParagraph"/>
              <w:numPr>
                <w:ilvl w:val="0"/>
                <w:numId w:val="22"/>
              </w:numPr>
            </w:pPr>
          </w:p>
        </w:tc>
        <w:tc>
          <w:tcPr>
            <w:tcW w:w="1251" w:type="dxa"/>
          </w:tcPr>
          <w:p w14:paraId="59A20953" w14:textId="77777777" w:rsidR="00286D77" w:rsidRDefault="00286D77" w:rsidP="00D90479">
            <w:r w:rsidRPr="00563123">
              <w:t>Requested</w:t>
            </w:r>
          </w:p>
        </w:tc>
        <w:tc>
          <w:tcPr>
            <w:tcW w:w="1604" w:type="dxa"/>
          </w:tcPr>
          <w:p w14:paraId="384C9EF4" w14:textId="77777777" w:rsidR="00286D77" w:rsidRDefault="00286D77" w:rsidP="00D90479">
            <w:r>
              <w:t>Documentation</w:t>
            </w:r>
          </w:p>
        </w:tc>
        <w:tc>
          <w:tcPr>
            <w:tcW w:w="3683" w:type="dxa"/>
          </w:tcPr>
          <w:p w14:paraId="6E7ABC65" w14:textId="77777777" w:rsidR="00286D77" w:rsidRDefault="00286D77" w:rsidP="00D90479">
            <w:pPr>
              <w:rPr>
                <w:rFonts w:eastAsia="Times New Roman"/>
              </w:rPr>
            </w:pPr>
            <w:r>
              <w:rPr>
                <w:rFonts w:eastAsia="Times New Roman"/>
              </w:rPr>
              <w:t>Documentation on how the vendor intends to meet and how they have tested the RPO?</w:t>
            </w:r>
          </w:p>
        </w:tc>
        <w:tc>
          <w:tcPr>
            <w:tcW w:w="3827" w:type="dxa"/>
          </w:tcPr>
          <w:p w14:paraId="759A7303" w14:textId="77777777" w:rsidR="00286D77" w:rsidRDefault="00286D77" w:rsidP="00D90479">
            <w:r w:rsidRPr="00590897">
              <w:t>Solutions that are fully or partially hosted by the vendor, or where the vendor stores, processes, creates, receives, or transmits MUHC data.</w:t>
            </w:r>
          </w:p>
        </w:tc>
      </w:tr>
      <w:tr w:rsidR="00286D77" w14:paraId="148B24F1" w14:textId="77777777" w:rsidTr="00D90479">
        <w:tc>
          <w:tcPr>
            <w:tcW w:w="425" w:type="dxa"/>
          </w:tcPr>
          <w:p w14:paraId="16F62F7B" w14:textId="77777777" w:rsidR="00286D77" w:rsidRDefault="00286D77" w:rsidP="00286D77">
            <w:pPr>
              <w:pStyle w:val="ListParagraph"/>
              <w:numPr>
                <w:ilvl w:val="0"/>
                <w:numId w:val="22"/>
              </w:numPr>
            </w:pPr>
          </w:p>
        </w:tc>
        <w:tc>
          <w:tcPr>
            <w:tcW w:w="1251" w:type="dxa"/>
          </w:tcPr>
          <w:p w14:paraId="7D883CE0" w14:textId="77777777" w:rsidR="00286D77" w:rsidRDefault="00286D77" w:rsidP="00D90479">
            <w:r w:rsidRPr="00563123">
              <w:t>Requested</w:t>
            </w:r>
          </w:p>
        </w:tc>
        <w:tc>
          <w:tcPr>
            <w:tcW w:w="1604" w:type="dxa"/>
          </w:tcPr>
          <w:p w14:paraId="6E944A3E" w14:textId="77777777" w:rsidR="00286D77" w:rsidRDefault="00286D77" w:rsidP="00D90479">
            <w:r>
              <w:t>Documentation</w:t>
            </w:r>
          </w:p>
        </w:tc>
        <w:tc>
          <w:tcPr>
            <w:tcW w:w="3683" w:type="dxa"/>
          </w:tcPr>
          <w:p w14:paraId="49F129E1" w14:textId="77777777" w:rsidR="00286D77" w:rsidRDefault="00286D77" w:rsidP="00D90479">
            <w:pPr>
              <w:rPr>
                <w:rFonts w:eastAsia="Times New Roman"/>
              </w:rPr>
            </w:pPr>
            <w:r>
              <w:rPr>
                <w:rFonts w:eastAsia="Times New Roman"/>
              </w:rPr>
              <w:t>Requirements and options for remote access.</w:t>
            </w:r>
          </w:p>
        </w:tc>
        <w:tc>
          <w:tcPr>
            <w:tcW w:w="3827" w:type="dxa"/>
          </w:tcPr>
          <w:p w14:paraId="43E0723B" w14:textId="77777777" w:rsidR="00286D77" w:rsidRPr="00590897" w:rsidRDefault="00286D77" w:rsidP="00D90479">
            <w:r>
              <w:t>Solutions where remote access is needed by the vendor to access servers or devices on MUHC’s network.</w:t>
            </w:r>
          </w:p>
        </w:tc>
      </w:tr>
      <w:tr w:rsidR="00286D77" w14:paraId="1AAACFE6" w14:textId="77777777" w:rsidTr="00D90479">
        <w:tc>
          <w:tcPr>
            <w:tcW w:w="425" w:type="dxa"/>
          </w:tcPr>
          <w:p w14:paraId="3914ED6B" w14:textId="77777777" w:rsidR="00286D77" w:rsidRDefault="00286D77" w:rsidP="00286D77">
            <w:pPr>
              <w:pStyle w:val="ListParagraph"/>
              <w:numPr>
                <w:ilvl w:val="0"/>
                <w:numId w:val="22"/>
              </w:numPr>
            </w:pPr>
          </w:p>
        </w:tc>
        <w:tc>
          <w:tcPr>
            <w:tcW w:w="1251" w:type="dxa"/>
          </w:tcPr>
          <w:p w14:paraId="72E500BA" w14:textId="77777777" w:rsidR="00286D77" w:rsidRPr="00563123" w:rsidRDefault="00286D77" w:rsidP="00D90479">
            <w:r>
              <w:t>Requested</w:t>
            </w:r>
          </w:p>
        </w:tc>
        <w:tc>
          <w:tcPr>
            <w:tcW w:w="1604" w:type="dxa"/>
          </w:tcPr>
          <w:p w14:paraId="5659DE20" w14:textId="77777777" w:rsidR="00286D77" w:rsidRDefault="00286D77" w:rsidP="00D90479">
            <w:r>
              <w:t>Documentation</w:t>
            </w:r>
          </w:p>
        </w:tc>
        <w:tc>
          <w:tcPr>
            <w:tcW w:w="3683" w:type="dxa"/>
          </w:tcPr>
          <w:p w14:paraId="50AB4385" w14:textId="77777777" w:rsidR="00286D77" w:rsidRPr="003D221D" w:rsidRDefault="00286D77" w:rsidP="00D90479">
            <w:pPr>
              <w:rPr>
                <w:rFonts w:eastAsia="Times New Roman"/>
              </w:rPr>
            </w:pPr>
            <w:r>
              <w:rPr>
                <w:rFonts w:eastAsia="Times New Roman"/>
              </w:rPr>
              <w:t xml:space="preserve">Documentation of intended use of MUHC’s de-identified data. Include detailed description of how the data will be de-identified and if the vendor will be maintaining a </w:t>
            </w:r>
            <w:r>
              <w:rPr>
                <w:rFonts w:eastAsia="Times New Roman"/>
                <w:i/>
                <w:iCs/>
              </w:rPr>
              <w:t>mapping table</w:t>
            </w:r>
            <w:r>
              <w:rPr>
                <w:rFonts w:eastAsia="Times New Roman"/>
              </w:rPr>
              <w:t xml:space="preserve"> (to re-identify a record) to the de-identified dataset. </w:t>
            </w:r>
          </w:p>
        </w:tc>
        <w:tc>
          <w:tcPr>
            <w:tcW w:w="3827" w:type="dxa"/>
          </w:tcPr>
          <w:p w14:paraId="554A339C" w14:textId="77777777" w:rsidR="00286D77" w:rsidRDefault="00286D77" w:rsidP="00D90479">
            <w:r>
              <w:t>Where the vendor intends to de-identify and use MUHC’s data.</w:t>
            </w:r>
          </w:p>
        </w:tc>
      </w:tr>
    </w:tbl>
    <w:p w14:paraId="25F6776F" w14:textId="77777777" w:rsidR="00286D77" w:rsidRDefault="00286D77" w:rsidP="00286D77"/>
    <w:p w14:paraId="7B509EBC" w14:textId="77777777" w:rsidR="00286D77" w:rsidRPr="00AE7F4B" w:rsidRDefault="00286D77" w:rsidP="00286D77">
      <w:pPr>
        <w:pStyle w:val="EndnoteText"/>
        <w:rPr>
          <w:b/>
          <w:bCs/>
        </w:rPr>
      </w:pPr>
      <w:r w:rsidRPr="00AE7F4B">
        <w:rPr>
          <w:rStyle w:val="EndnoteReference"/>
          <w:sz w:val="28"/>
          <w:szCs w:val="28"/>
        </w:rPr>
        <w:footnoteRef/>
      </w:r>
      <w:r w:rsidRPr="00AE7F4B">
        <w:rPr>
          <w:sz w:val="28"/>
          <w:szCs w:val="28"/>
        </w:rPr>
        <w:t xml:space="preserve">  </w:t>
      </w:r>
      <w:r w:rsidRPr="00AE7F4B">
        <w:rPr>
          <w:b/>
          <w:bCs/>
          <w:sz w:val="28"/>
          <w:szCs w:val="28"/>
        </w:rPr>
        <w:t>User Access Log Requirements</w:t>
      </w:r>
    </w:p>
    <w:p w14:paraId="5EE68217" w14:textId="77777777" w:rsidR="00286D77" w:rsidRDefault="00286D77" w:rsidP="00286D77">
      <w:pPr>
        <w:pStyle w:val="EndnoteText"/>
      </w:pPr>
    </w:p>
    <w:p w14:paraId="4C19867E" w14:textId="77777777" w:rsidR="00286D77" w:rsidRDefault="00286D77" w:rsidP="00286D77">
      <w:r w:rsidRPr="00EC4017">
        <w:rPr>
          <w:b/>
          <w:bCs/>
        </w:rPr>
        <w:t>Record Access</w:t>
      </w:r>
      <w:r>
        <w:t xml:space="preserve"> – when a user views the single record or partial record of an individual within the solution.</w:t>
      </w:r>
    </w:p>
    <w:p w14:paraId="0A497D52" w14:textId="77777777" w:rsidR="00286D77" w:rsidRDefault="00286D77" w:rsidP="00286D77">
      <w:r w:rsidRPr="00EC4017">
        <w:rPr>
          <w:b/>
          <w:bCs/>
        </w:rPr>
        <w:t>List Access</w:t>
      </w:r>
      <w:r>
        <w:t xml:space="preserve"> – when a user views PHI presented in a list view (i.e., list of patients scheduled that day, list of patients based on search).</w:t>
      </w:r>
    </w:p>
    <w:p w14:paraId="40597BB2" w14:textId="77777777" w:rsidR="00286D77" w:rsidRDefault="00286D77" w:rsidP="00286D77">
      <w:pPr>
        <w:pStyle w:val="EndnoteText"/>
      </w:pPr>
    </w:p>
    <w:p w14:paraId="43EB2B63" w14:textId="77777777" w:rsidR="00286D77" w:rsidRDefault="00286D77" w:rsidP="00286D77">
      <w:pPr>
        <w:pStyle w:val="ListParagraph"/>
        <w:numPr>
          <w:ilvl w:val="0"/>
          <w:numId w:val="23"/>
        </w:numPr>
      </w:pPr>
      <w:r>
        <w:t>The solution creates audit logs on the following:</w:t>
      </w:r>
    </w:p>
    <w:p w14:paraId="2FEC58FF" w14:textId="77777777" w:rsidR="00286D77" w:rsidRDefault="00286D77" w:rsidP="00286D77">
      <w:pPr>
        <w:pStyle w:val="ListParagraph"/>
        <w:numPr>
          <w:ilvl w:val="1"/>
          <w:numId w:val="23"/>
        </w:numPr>
      </w:pPr>
      <w:r>
        <w:t>When a user authenticates (login) to the solution.</w:t>
      </w:r>
    </w:p>
    <w:p w14:paraId="191EF4EC" w14:textId="77777777" w:rsidR="00286D77" w:rsidRDefault="00286D77" w:rsidP="00286D77">
      <w:pPr>
        <w:pStyle w:val="ListParagraph"/>
        <w:numPr>
          <w:ilvl w:val="1"/>
          <w:numId w:val="23"/>
        </w:numPr>
      </w:pPr>
      <w:r>
        <w:t>When a user creates, modifies, or deletes a user of the solution.</w:t>
      </w:r>
    </w:p>
    <w:p w14:paraId="53A6C3BF" w14:textId="77777777" w:rsidR="00286D77" w:rsidRPr="00850A6E" w:rsidRDefault="00286D77" w:rsidP="00286D77">
      <w:pPr>
        <w:pStyle w:val="ListParagraph"/>
        <w:numPr>
          <w:ilvl w:val="1"/>
          <w:numId w:val="23"/>
        </w:numPr>
      </w:pPr>
      <w:r w:rsidRPr="00850A6E">
        <w:rPr>
          <w:rStyle w:val="normaltextrun"/>
          <w:rFonts w:ascii="Aptos" w:eastAsiaTheme="majorEastAsia" w:hAnsi="Aptos"/>
        </w:rPr>
        <w:lastRenderedPageBreak/>
        <w:t xml:space="preserve">When a user accesses, creates, modifies, or deletes PHI of an individual </w:t>
      </w:r>
      <w:r>
        <w:rPr>
          <w:rStyle w:val="normaltextrun"/>
          <w:rFonts w:ascii="Aptos" w:eastAsiaTheme="majorEastAsia" w:hAnsi="Aptos"/>
        </w:rPr>
        <w:t>(</w:t>
      </w:r>
      <w:r w:rsidRPr="00817DE7">
        <w:rPr>
          <w:rStyle w:val="normaltextrun"/>
          <w:rFonts w:ascii="Aptos" w:eastAsiaTheme="majorEastAsia" w:hAnsi="Aptos"/>
          <w:b/>
          <w:bCs/>
        </w:rPr>
        <w:t>Record Access</w:t>
      </w:r>
      <w:r w:rsidRPr="00850A6E">
        <w:rPr>
          <w:rStyle w:val="normaltextrun"/>
          <w:rFonts w:ascii="Aptos" w:eastAsiaTheme="majorEastAsia" w:hAnsi="Aptos"/>
        </w:rPr>
        <w:t>)</w:t>
      </w:r>
      <w:r>
        <w:rPr>
          <w:rStyle w:val="normaltextrun"/>
          <w:rFonts w:ascii="Aptos" w:eastAsiaTheme="majorEastAsia" w:hAnsi="Aptos"/>
        </w:rPr>
        <w:t>.</w:t>
      </w:r>
    </w:p>
    <w:p w14:paraId="3FB05133" w14:textId="77777777" w:rsidR="00286D77" w:rsidRPr="00F92EBF" w:rsidRDefault="00286D77" w:rsidP="00286D77">
      <w:pPr>
        <w:pStyle w:val="ListParagraph"/>
        <w:numPr>
          <w:ilvl w:val="1"/>
          <w:numId w:val="23"/>
        </w:numPr>
        <w:rPr>
          <w:rStyle w:val="normaltextrun"/>
        </w:rPr>
      </w:pPr>
      <w:r>
        <w:t>When a user views PHI of individuals (List Access)</w:t>
      </w:r>
      <w:r>
        <w:rPr>
          <w:rStyle w:val="normaltextrun"/>
          <w:rFonts w:ascii="Aptos" w:eastAsiaTheme="majorEastAsia" w:hAnsi="Aptos"/>
        </w:rPr>
        <w:t>.</w:t>
      </w:r>
    </w:p>
    <w:p w14:paraId="6A27F10F" w14:textId="77777777" w:rsidR="00286D77" w:rsidRDefault="00286D77" w:rsidP="00286D77">
      <w:pPr>
        <w:pStyle w:val="ListParagraph"/>
        <w:numPr>
          <w:ilvl w:val="1"/>
          <w:numId w:val="23"/>
        </w:numPr>
      </w:pPr>
      <w:r>
        <w:t>When a user exports PHI (e.g., creates a report, exports data to Excel or CSV).</w:t>
      </w:r>
    </w:p>
    <w:p w14:paraId="1957BCFF" w14:textId="77777777" w:rsidR="00286D77" w:rsidRPr="00CE4F68" w:rsidRDefault="00286D77" w:rsidP="00286D77">
      <w:pPr>
        <w:pStyle w:val="ListParagraph"/>
        <w:numPr>
          <w:ilvl w:val="0"/>
          <w:numId w:val="23"/>
        </w:numPr>
      </w:pPr>
      <w:r w:rsidRPr="00CE4F68">
        <w:t>Logs contain the following information: </w:t>
      </w:r>
    </w:p>
    <w:p w14:paraId="55FA2F5E" w14:textId="77777777" w:rsidR="00286D77" w:rsidRPr="00CE4F68" w:rsidRDefault="00286D77" w:rsidP="00286D77">
      <w:pPr>
        <w:pStyle w:val="ListParagraph"/>
        <w:numPr>
          <w:ilvl w:val="1"/>
          <w:numId w:val="23"/>
        </w:numPr>
      </w:pPr>
      <w:r w:rsidRPr="00CE4F68">
        <w:t>User identifier such as username. </w:t>
      </w:r>
    </w:p>
    <w:p w14:paraId="79F813D8" w14:textId="77777777" w:rsidR="00286D77" w:rsidRPr="00CE4F68" w:rsidRDefault="00286D77" w:rsidP="00286D77">
      <w:pPr>
        <w:pStyle w:val="ListParagraph"/>
        <w:numPr>
          <w:ilvl w:val="1"/>
          <w:numId w:val="23"/>
        </w:numPr>
      </w:pPr>
      <w:r w:rsidRPr="00CE4F68">
        <w:t>Description of action. </w:t>
      </w:r>
    </w:p>
    <w:p w14:paraId="3D1E387C" w14:textId="77777777" w:rsidR="00286D77" w:rsidRPr="00CE4F68" w:rsidRDefault="00286D77" w:rsidP="00286D77">
      <w:pPr>
        <w:pStyle w:val="ListParagraph"/>
        <w:numPr>
          <w:ilvl w:val="1"/>
          <w:numId w:val="23"/>
        </w:numPr>
      </w:pPr>
      <w:r w:rsidRPr="00CE4F68">
        <w:t>Date and time of action. </w:t>
      </w:r>
    </w:p>
    <w:p w14:paraId="4B69BFFE" w14:textId="77777777" w:rsidR="00286D77" w:rsidRPr="00C074B2" w:rsidRDefault="00286D77" w:rsidP="00286D77">
      <w:pPr>
        <w:pStyle w:val="ListParagraph"/>
        <w:numPr>
          <w:ilvl w:val="1"/>
          <w:numId w:val="23"/>
        </w:numPr>
        <w:textAlignment w:val="baseline"/>
        <w:rPr>
          <w:rFonts w:ascii="Aptos" w:hAnsi="Aptos"/>
        </w:rPr>
      </w:pPr>
      <w:r w:rsidRPr="00CE4F68">
        <w:rPr>
          <w:rFonts w:eastAsiaTheme="majorEastAsia"/>
        </w:rPr>
        <w:t>Description of data accessed or reference window</w:t>
      </w:r>
      <w:r>
        <w:rPr>
          <w:rFonts w:eastAsiaTheme="majorEastAsia"/>
        </w:rPr>
        <w:t xml:space="preserve"> name</w:t>
      </w:r>
      <w:r w:rsidRPr="00CE4F68">
        <w:rPr>
          <w:rFonts w:eastAsiaTheme="majorEastAsia"/>
        </w:rPr>
        <w:t xml:space="preserve"> (e.g., demographics, lab results, clinical note). </w:t>
      </w:r>
    </w:p>
    <w:p w14:paraId="32F75009" w14:textId="77777777" w:rsidR="00286D77" w:rsidRDefault="00286D77" w:rsidP="00286D77">
      <w:pPr>
        <w:pStyle w:val="ListParagraph"/>
        <w:numPr>
          <w:ilvl w:val="1"/>
          <w:numId w:val="23"/>
        </w:numPr>
      </w:pPr>
      <w:r w:rsidRPr="00CE4F68">
        <w:t xml:space="preserve">Identifier of </w:t>
      </w:r>
      <w:r>
        <w:t>patient(s)</w:t>
      </w:r>
      <w:r w:rsidRPr="00CE4F68">
        <w:t xml:space="preserve"> (e.g., </w:t>
      </w:r>
      <w:r>
        <w:t xml:space="preserve">name, patient ID number, or </w:t>
      </w:r>
      <w:r w:rsidRPr="00CE4F68">
        <w:t>medical record number)</w:t>
      </w:r>
      <w:r>
        <w:t xml:space="preserve">. </w:t>
      </w:r>
    </w:p>
    <w:p w14:paraId="54C63E2A" w14:textId="77777777" w:rsidR="00286D77" w:rsidRPr="00CE4F68" w:rsidRDefault="00286D77" w:rsidP="00286D77">
      <w:pPr>
        <w:pStyle w:val="ListParagraph"/>
        <w:numPr>
          <w:ilvl w:val="2"/>
          <w:numId w:val="23"/>
        </w:numPr>
      </w:pPr>
      <w:r>
        <w:t xml:space="preserve">For </w:t>
      </w:r>
      <w:r w:rsidRPr="00573AA1">
        <w:rPr>
          <w:b/>
          <w:bCs/>
        </w:rPr>
        <w:t>List Access</w:t>
      </w:r>
      <w:r>
        <w:rPr>
          <w:b/>
          <w:bCs/>
        </w:rPr>
        <w:t>,</w:t>
      </w:r>
      <w:r>
        <w:t xml:space="preserve"> having the ability to determine which patients were displayed when the user accessed the list would be an acceptable compensating control with confirmation from the vendor that the report was thorough and accurate.</w:t>
      </w:r>
    </w:p>
    <w:p w14:paraId="544BA361" w14:textId="77777777" w:rsidR="00286D77" w:rsidRPr="0039129A" w:rsidRDefault="00286D77" w:rsidP="00286D77">
      <w:pPr>
        <w:pStyle w:val="ListParagraph"/>
        <w:numPr>
          <w:ilvl w:val="0"/>
          <w:numId w:val="23"/>
        </w:numPr>
        <w:textAlignment w:val="baseline"/>
        <w:rPr>
          <w:rStyle w:val="eop"/>
          <w:rFonts w:ascii="Aptos" w:hAnsi="Aptos"/>
        </w:rPr>
      </w:pPr>
      <w:r w:rsidRPr="0039129A">
        <w:rPr>
          <w:rStyle w:val="normaltextrun"/>
          <w:rFonts w:ascii="Aptos" w:eastAsiaTheme="majorEastAsia" w:hAnsi="Aptos"/>
        </w:rPr>
        <w:t>Access to Audit Logs</w:t>
      </w:r>
      <w:r w:rsidRPr="0039129A">
        <w:rPr>
          <w:rStyle w:val="eop"/>
          <w:rFonts w:ascii="Aptos" w:eastAsiaTheme="majorEastAsia" w:hAnsi="Aptos"/>
        </w:rPr>
        <w:t xml:space="preserve">: </w:t>
      </w:r>
      <w:r w:rsidRPr="0039129A">
        <w:rPr>
          <w:rStyle w:val="normaltextrun"/>
          <w:rFonts w:ascii="Aptos" w:eastAsiaTheme="majorEastAsia" w:hAnsi="Aptos"/>
        </w:rPr>
        <w:t>Customer can access the above-mentioned audit logs via the application.</w:t>
      </w:r>
      <w:r w:rsidRPr="0039129A">
        <w:rPr>
          <w:rStyle w:val="eop"/>
          <w:rFonts w:ascii="Aptos" w:eastAsiaTheme="majorEastAsia" w:hAnsi="Aptos"/>
        </w:rPr>
        <w:t> </w:t>
      </w:r>
    </w:p>
    <w:p w14:paraId="74C79D12" w14:textId="77777777" w:rsidR="00286D77" w:rsidRPr="00263FC0" w:rsidRDefault="00286D77" w:rsidP="00286D77">
      <w:pPr>
        <w:pStyle w:val="ListParagraph"/>
        <w:numPr>
          <w:ilvl w:val="0"/>
          <w:numId w:val="23"/>
        </w:numPr>
        <w:textAlignment w:val="baseline"/>
        <w:rPr>
          <w:rStyle w:val="eop"/>
          <w:rFonts w:ascii="Aptos" w:hAnsi="Aptos"/>
        </w:rPr>
      </w:pPr>
      <w:r w:rsidRPr="0039129A">
        <w:rPr>
          <w:rStyle w:val="normaltextrun"/>
          <w:rFonts w:ascii="Aptos" w:eastAsiaTheme="majorEastAsia" w:hAnsi="Aptos"/>
        </w:rPr>
        <w:t>Log Retention</w:t>
      </w:r>
      <w:r w:rsidRPr="0039129A">
        <w:rPr>
          <w:rStyle w:val="eop"/>
          <w:rFonts w:ascii="Aptos" w:eastAsiaTheme="majorEastAsia" w:hAnsi="Aptos"/>
        </w:rPr>
        <w:t xml:space="preserve">: </w:t>
      </w:r>
      <w:r w:rsidRPr="0039129A">
        <w:rPr>
          <w:rStyle w:val="normaltextrun"/>
          <w:rFonts w:ascii="Aptos" w:eastAsiaTheme="majorEastAsia" w:hAnsi="Aptos"/>
        </w:rPr>
        <w:t>The above-mentioned audit logs are available for no less than 12 months.</w:t>
      </w:r>
      <w:r w:rsidRPr="0039129A">
        <w:rPr>
          <w:rStyle w:val="eop"/>
          <w:rFonts w:ascii="Aptos" w:eastAsiaTheme="majorEastAsia" w:hAnsi="Aptos"/>
        </w:rPr>
        <w:t> </w:t>
      </w:r>
    </w:p>
    <w:p w14:paraId="28E1BDC4" w14:textId="77777777" w:rsidR="00286D77" w:rsidRPr="00263FC0" w:rsidRDefault="00286D77" w:rsidP="00286D77">
      <w:pPr>
        <w:pStyle w:val="ListParagraph"/>
        <w:numPr>
          <w:ilvl w:val="0"/>
          <w:numId w:val="23"/>
        </w:numPr>
        <w:textAlignment w:val="baseline"/>
        <w:rPr>
          <w:rFonts w:ascii="Aptos" w:hAnsi="Aptos"/>
        </w:rPr>
      </w:pPr>
      <w:r w:rsidRPr="00263FC0">
        <w:rPr>
          <w:rStyle w:val="normaltextrun"/>
          <w:rFonts w:ascii="Aptos" w:eastAsiaTheme="majorEastAsia" w:hAnsi="Aptos"/>
        </w:rPr>
        <w:t>Log Integrity</w:t>
      </w:r>
      <w:r w:rsidRPr="00263FC0">
        <w:rPr>
          <w:rStyle w:val="eop"/>
          <w:rFonts w:ascii="Aptos" w:eastAsiaTheme="majorEastAsia" w:hAnsi="Aptos"/>
        </w:rPr>
        <w:t xml:space="preserve">: </w:t>
      </w:r>
      <w:r>
        <w:rPr>
          <w:rStyle w:val="eop"/>
          <w:rFonts w:ascii="Aptos" w:eastAsiaTheme="majorEastAsia" w:hAnsi="Aptos"/>
        </w:rPr>
        <w:t xml:space="preserve">Vendor implements protections to ensure that </w:t>
      </w:r>
      <w:r w:rsidRPr="00263FC0">
        <w:rPr>
          <w:rStyle w:val="normaltextrun"/>
          <w:rFonts w:ascii="Aptos" w:eastAsiaTheme="majorEastAsia" w:hAnsi="Aptos"/>
        </w:rPr>
        <w:t>audit logs cannot be modified by the customer or vendor.</w:t>
      </w:r>
      <w:r w:rsidRPr="00263FC0">
        <w:rPr>
          <w:rStyle w:val="eop"/>
          <w:rFonts w:ascii="Aptos" w:eastAsiaTheme="majorEastAsia" w:hAnsi="Aptos"/>
        </w:rPr>
        <w:t> </w:t>
      </w:r>
    </w:p>
    <w:p w14:paraId="7739D65A" w14:textId="77777777" w:rsidR="00286D77" w:rsidRDefault="00286D77" w:rsidP="00286D77">
      <w:pPr>
        <w:pStyle w:val="EndnoteText"/>
      </w:pPr>
    </w:p>
    <w:p w14:paraId="00E125D9" w14:textId="77777777" w:rsidR="00286D77" w:rsidRPr="00B26500" w:rsidRDefault="00286D77" w:rsidP="00286D77">
      <w:pPr>
        <w:pStyle w:val="EndnoteText"/>
        <w:rPr>
          <w:b/>
          <w:bCs/>
          <w:sz w:val="28"/>
          <w:szCs w:val="28"/>
        </w:rPr>
      </w:pPr>
      <w:r w:rsidRPr="00B26500">
        <w:rPr>
          <w:rStyle w:val="EndnoteReference"/>
          <w:b/>
          <w:bCs/>
          <w:sz w:val="28"/>
          <w:szCs w:val="28"/>
        </w:rPr>
        <w:footnoteRef/>
      </w:r>
      <w:r w:rsidRPr="00B26500">
        <w:rPr>
          <w:b/>
          <w:bCs/>
          <w:sz w:val="28"/>
          <w:szCs w:val="28"/>
        </w:rPr>
        <w:t xml:space="preserve"> Authentication Requirements</w:t>
      </w:r>
    </w:p>
    <w:p w14:paraId="58759FB7" w14:textId="77777777" w:rsidR="00286D77" w:rsidRDefault="00286D77" w:rsidP="00286D77">
      <w:pPr>
        <w:pStyle w:val="EndnoteText"/>
        <w:rPr>
          <w:sz w:val="28"/>
          <w:szCs w:val="28"/>
        </w:rPr>
      </w:pPr>
    </w:p>
    <w:p w14:paraId="337D1DED" w14:textId="77777777" w:rsidR="00286D77" w:rsidRPr="00127853" w:rsidRDefault="00286D77" w:rsidP="00286D77">
      <w:pPr>
        <w:rPr>
          <w:b/>
          <w:bCs/>
        </w:rPr>
      </w:pPr>
      <w:r w:rsidRPr="00127853">
        <w:rPr>
          <w:b/>
          <w:bCs/>
        </w:rPr>
        <w:t>The solution must support one of the following authentication methods:</w:t>
      </w:r>
    </w:p>
    <w:p w14:paraId="61F1E85C" w14:textId="77777777" w:rsidR="00286D77" w:rsidRPr="00127853" w:rsidRDefault="00286D77" w:rsidP="00286D77">
      <w:pPr>
        <w:pStyle w:val="ListParagraph"/>
        <w:numPr>
          <w:ilvl w:val="0"/>
          <w:numId w:val="26"/>
        </w:numPr>
      </w:pPr>
      <w:r w:rsidRPr="00127853">
        <w:t xml:space="preserve">Single Sign-On (SSO) via the </w:t>
      </w:r>
      <w:r>
        <w:t>UM System’s</w:t>
      </w:r>
      <w:r w:rsidRPr="00127853">
        <w:t xml:space="preserve"> Microsoft Azure instance</w:t>
      </w:r>
    </w:p>
    <w:p w14:paraId="186BF468" w14:textId="77777777" w:rsidR="00286D77" w:rsidRPr="00127853" w:rsidRDefault="00286D77" w:rsidP="00286D77">
      <w:pPr>
        <w:pStyle w:val="ListParagraph"/>
        <w:numPr>
          <w:ilvl w:val="0"/>
          <w:numId w:val="26"/>
        </w:numPr>
      </w:pPr>
      <w:r w:rsidRPr="00127853">
        <w:t xml:space="preserve">Integration with the </w:t>
      </w:r>
      <w:r>
        <w:t>UM’ Systems</w:t>
      </w:r>
      <w:r w:rsidRPr="00127853">
        <w:t xml:space="preserve"> LDAP directory</w:t>
      </w:r>
    </w:p>
    <w:p w14:paraId="008BEB3D" w14:textId="77777777" w:rsidR="00286D77" w:rsidRPr="00127853" w:rsidRDefault="00286D77" w:rsidP="00286D77">
      <w:pPr>
        <w:pStyle w:val="ListParagraph"/>
        <w:numPr>
          <w:ilvl w:val="0"/>
          <w:numId w:val="26"/>
        </w:numPr>
      </w:pPr>
      <w:r w:rsidRPr="00127853">
        <w:t>Application-based authentication that meets the criteria outlined below</w:t>
      </w:r>
    </w:p>
    <w:p w14:paraId="12CC3225" w14:textId="77777777" w:rsidR="00286D77" w:rsidRPr="00127853" w:rsidRDefault="00286D77" w:rsidP="00286D77">
      <w:pPr>
        <w:rPr>
          <w:b/>
          <w:bCs/>
        </w:rPr>
      </w:pPr>
      <w:r w:rsidRPr="00127853">
        <w:rPr>
          <w:b/>
          <w:bCs/>
        </w:rPr>
        <w:t>If using application-based authentication, the solution must:</w:t>
      </w:r>
    </w:p>
    <w:p w14:paraId="3EAC64A6" w14:textId="77777777" w:rsidR="00286D77" w:rsidRPr="00127853" w:rsidRDefault="00286D77" w:rsidP="00286D77">
      <w:pPr>
        <w:pStyle w:val="ListParagraph"/>
        <w:numPr>
          <w:ilvl w:val="0"/>
          <w:numId w:val="27"/>
        </w:numPr>
      </w:pPr>
      <w:r w:rsidRPr="00127853">
        <w:t>Support multi-factor authentication (MFA) using an authenticator app</w:t>
      </w:r>
    </w:p>
    <w:p w14:paraId="769E03EA" w14:textId="77777777" w:rsidR="00286D77" w:rsidRDefault="00286D77" w:rsidP="00286D77">
      <w:pPr>
        <w:pStyle w:val="ListParagraph"/>
        <w:numPr>
          <w:ilvl w:val="0"/>
          <w:numId w:val="27"/>
        </w:numPr>
      </w:pPr>
      <w:r w:rsidRPr="00127853">
        <w:t>Alternatively, support email or SMS-based MFA combined with IP allow-listing</w:t>
      </w:r>
    </w:p>
    <w:p w14:paraId="270914CE" w14:textId="77777777" w:rsidR="00286D77" w:rsidRDefault="00286D77" w:rsidP="00286D77">
      <w:pPr>
        <w:rPr>
          <w:b/>
          <w:bCs/>
        </w:rPr>
      </w:pPr>
      <w:r w:rsidRPr="00BB461F">
        <w:rPr>
          <w:b/>
          <w:bCs/>
        </w:rPr>
        <w:t>If the application is internet-accessible and hosted by the vendor:</w:t>
      </w:r>
    </w:p>
    <w:p w14:paraId="6BBD7C9A" w14:textId="226FF2C9" w:rsidR="00286D77" w:rsidRDefault="00286D77" w:rsidP="00286D77">
      <w:pPr>
        <w:spacing w:after="0" w:line="240" w:lineRule="auto"/>
        <w:rPr>
          <w:sz w:val="24"/>
        </w:rPr>
      </w:pPr>
      <w:r w:rsidRPr="00127853">
        <w:t>The vendor must confirm that login activity logs are actively monitored for suspicious access attempts.</w:t>
      </w:r>
    </w:p>
    <w:sectPr w:rsidR="00286D7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EAF4B" w14:textId="77777777" w:rsidR="006F7FFB" w:rsidRDefault="006F7FFB" w:rsidP="00A43273">
      <w:pPr>
        <w:spacing w:after="0" w:line="240" w:lineRule="auto"/>
      </w:pPr>
      <w:r>
        <w:separator/>
      </w:r>
    </w:p>
  </w:endnote>
  <w:endnote w:type="continuationSeparator" w:id="0">
    <w:p w14:paraId="5EAAE19E" w14:textId="77777777" w:rsidR="006F7FFB" w:rsidRDefault="006F7FFB" w:rsidP="00A43273">
      <w:pPr>
        <w:spacing w:after="0" w:line="240" w:lineRule="auto"/>
      </w:pPr>
      <w:r>
        <w:continuationSeparator/>
      </w:r>
    </w:p>
  </w:endnote>
  <w:endnote w:id="1">
    <w:p w14:paraId="3BC1DB97" w14:textId="77777777" w:rsidR="00286D77" w:rsidRPr="00AE7F4B" w:rsidRDefault="00286D77" w:rsidP="00286D77">
      <w:pPr>
        <w:pStyle w:val="EndnoteText"/>
        <w:rPr>
          <w:b/>
          <w:bCs/>
        </w:rPr>
      </w:pPr>
      <w:r w:rsidRPr="00AE7F4B">
        <w:rPr>
          <w:rStyle w:val="EndnoteReference"/>
          <w:sz w:val="28"/>
          <w:szCs w:val="28"/>
        </w:rPr>
        <w:endnoteRef/>
      </w:r>
      <w:r w:rsidRPr="00AE7F4B">
        <w:rPr>
          <w:sz w:val="28"/>
          <w:szCs w:val="28"/>
        </w:rPr>
        <w:t xml:space="preserve">  </w:t>
      </w:r>
      <w:r w:rsidRPr="00AE7F4B">
        <w:rPr>
          <w:b/>
          <w:bCs/>
          <w:sz w:val="28"/>
          <w:szCs w:val="28"/>
        </w:rPr>
        <w:t>User Access Log Requirements</w:t>
      </w:r>
    </w:p>
    <w:p w14:paraId="17121024" w14:textId="77777777" w:rsidR="00286D77" w:rsidRDefault="00286D77" w:rsidP="00286D77">
      <w:pPr>
        <w:pStyle w:val="EndnoteText"/>
      </w:pPr>
    </w:p>
    <w:p w14:paraId="2B01F837" w14:textId="77777777" w:rsidR="00286D77" w:rsidRDefault="00286D77" w:rsidP="00286D77">
      <w:r w:rsidRPr="00EC4017">
        <w:rPr>
          <w:b/>
          <w:bCs/>
        </w:rPr>
        <w:t>Record Access</w:t>
      </w:r>
      <w:r>
        <w:t xml:space="preserve"> – when a user views the single record or partial record of an individual within the solution.</w:t>
      </w:r>
    </w:p>
    <w:p w14:paraId="059C263C" w14:textId="77777777" w:rsidR="00286D77" w:rsidRDefault="00286D77" w:rsidP="00286D77">
      <w:r w:rsidRPr="00EC4017">
        <w:rPr>
          <w:b/>
          <w:bCs/>
        </w:rPr>
        <w:t>List Access</w:t>
      </w:r>
      <w:r>
        <w:t xml:space="preserve"> – when a user views PHI presented in a list view (i.e., list of patients scheduled that day, list of patients based on search).</w:t>
      </w:r>
    </w:p>
    <w:p w14:paraId="52736D84" w14:textId="77777777" w:rsidR="00286D77" w:rsidRDefault="00286D77" w:rsidP="00286D77">
      <w:pPr>
        <w:pStyle w:val="EndnoteText"/>
      </w:pPr>
    </w:p>
    <w:p w14:paraId="313D30C1" w14:textId="77777777" w:rsidR="00286D77" w:rsidRDefault="00286D77" w:rsidP="00286D77">
      <w:pPr>
        <w:pStyle w:val="ListParagraph"/>
        <w:numPr>
          <w:ilvl w:val="0"/>
          <w:numId w:val="23"/>
        </w:numPr>
      </w:pPr>
      <w:r>
        <w:t>The solution creates audit logs on the following:</w:t>
      </w:r>
    </w:p>
    <w:p w14:paraId="138420C0" w14:textId="77777777" w:rsidR="00286D77" w:rsidRDefault="00286D77" w:rsidP="00286D77">
      <w:pPr>
        <w:pStyle w:val="ListParagraph"/>
        <w:numPr>
          <w:ilvl w:val="1"/>
          <w:numId w:val="23"/>
        </w:numPr>
      </w:pPr>
      <w:r>
        <w:t>When a user authenticates (login) to the solution.</w:t>
      </w:r>
    </w:p>
    <w:p w14:paraId="4EE927E9" w14:textId="77777777" w:rsidR="00286D77" w:rsidRDefault="00286D77" w:rsidP="00286D77">
      <w:pPr>
        <w:pStyle w:val="ListParagraph"/>
        <w:numPr>
          <w:ilvl w:val="1"/>
          <w:numId w:val="23"/>
        </w:numPr>
      </w:pPr>
      <w:r>
        <w:t>When a user creates, modifies, or deletes a user of the solution.</w:t>
      </w:r>
    </w:p>
    <w:p w14:paraId="61ACFE64" w14:textId="77777777" w:rsidR="00286D77" w:rsidRPr="00850A6E" w:rsidRDefault="00286D77" w:rsidP="00286D77">
      <w:pPr>
        <w:pStyle w:val="ListParagraph"/>
        <w:numPr>
          <w:ilvl w:val="1"/>
          <w:numId w:val="23"/>
        </w:numPr>
      </w:pPr>
      <w:r w:rsidRPr="00850A6E">
        <w:rPr>
          <w:rStyle w:val="normaltextrun"/>
          <w:rFonts w:ascii="Aptos" w:eastAsiaTheme="majorEastAsia" w:hAnsi="Aptos"/>
        </w:rPr>
        <w:t xml:space="preserve">When a user accesses, creates, modifies, or deletes PHI of an individual </w:t>
      </w:r>
      <w:r>
        <w:rPr>
          <w:rStyle w:val="normaltextrun"/>
          <w:rFonts w:ascii="Aptos" w:eastAsiaTheme="majorEastAsia" w:hAnsi="Aptos"/>
        </w:rPr>
        <w:t>(</w:t>
      </w:r>
      <w:r w:rsidRPr="00817DE7">
        <w:rPr>
          <w:rStyle w:val="normaltextrun"/>
          <w:rFonts w:ascii="Aptos" w:eastAsiaTheme="majorEastAsia" w:hAnsi="Aptos"/>
          <w:b/>
          <w:bCs/>
        </w:rPr>
        <w:t>Record Access</w:t>
      </w:r>
      <w:r w:rsidRPr="00850A6E">
        <w:rPr>
          <w:rStyle w:val="normaltextrun"/>
          <w:rFonts w:ascii="Aptos" w:eastAsiaTheme="majorEastAsia" w:hAnsi="Aptos"/>
        </w:rPr>
        <w:t>)</w:t>
      </w:r>
      <w:r>
        <w:rPr>
          <w:rStyle w:val="normaltextrun"/>
          <w:rFonts w:ascii="Aptos" w:eastAsiaTheme="majorEastAsia" w:hAnsi="Aptos"/>
        </w:rPr>
        <w:t>.</w:t>
      </w:r>
    </w:p>
    <w:p w14:paraId="44A83FFC" w14:textId="77777777" w:rsidR="00286D77" w:rsidRPr="00F92EBF" w:rsidRDefault="00286D77" w:rsidP="00286D77">
      <w:pPr>
        <w:pStyle w:val="ListParagraph"/>
        <w:numPr>
          <w:ilvl w:val="1"/>
          <w:numId w:val="23"/>
        </w:numPr>
        <w:rPr>
          <w:rStyle w:val="normaltextrun"/>
        </w:rPr>
      </w:pPr>
      <w:r>
        <w:t>When a user views PHI of individuals (List Access)</w:t>
      </w:r>
      <w:r>
        <w:rPr>
          <w:rStyle w:val="normaltextrun"/>
          <w:rFonts w:ascii="Aptos" w:eastAsiaTheme="majorEastAsia" w:hAnsi="Aptos"/>
        </w:rPr>
        <w:t>.</w:t>
      </w:r>
    </w:p>
    <w:p w14:paraId="05AB717B" w14:textId="77777777" w:rsidR="00286D77" w:rsidRDefault="00286D77" w:rsidP="00286D77">
      <w:pPr>
        <w:pStyle w:val="ListParagraph"/>
        <w:numPr>
          <w:ilvl w:val="1"/>
          <w:numId w:val="23"/>
        </w:numPr>
      </w:pPr>
      <w:r>
        <w:t>When a user exports PHI (e.g., creates a report, exports data to Excel or CSV).</w:t>
      </w:r>
    </w:p>
    <w:p w14:paraId="1D2D2160" w14:textId="77777777" w:rsidR="00286D77" w:rsidRPr="00CE4F68" w:rsidRDefault="00286D77" w:rsidP="00286D77">
      <w:pPr>
        <w:pStyle w:val="ListParagraph"/>
        <w:numPr>
          <w:ilvl w:val="0"/>
          <w:numId w:val="23"/>
        </w:numPr>
      </w:pPr>
      <w:r w:rsidRPr="00CE4F68">
        <w:t>Logs contain the following information: </w:t>
      </w:r>
    </w:p>
    <w:p w14:paraId="6766215C" w14:textId="77777777" w:rsidR="00286D77" w:rsidRPr="00CE4F68" w:rsidRDefault="00286D77" w:rsidP="00286D77">
      <w:pPr>
        <w:pStyle w:val="ListParagraph"/>
        <w:numPr>
          <w:ilvl w:val="1"/>
          <w:numId w:val="23"/>
        </w:numPr>
      </w:pPr>
      <w:r w:rsidRPr="00CE4F68">
        <w:t>User identifier such as username. </w:t>
      </w:r>
    </w:p>
    <w:p w14:paraId="541ABD2F" w14:textId="77777777" w:rsidR="00286D77" w:rsidRPr="00CE4F68" w:rsidRDefault="00286D77" w:rsidP="00286D77">
      <w:pPr>
        <w:pStyle w:val="ListParagraph"/>
        <w:numPr>
          <w:ilvl w:val="1"/>
          <w:numId w:val="23"/>
        </w:numPr>
      </w:pPr>
      <w:r w:rsidRPr="00CE4F68">
        <w:t>Description of action. </w:t>
      </w:r>
    </w:p>
    <w:p w14:paraId="20D88A18" w14:textId="77777777" w:rsidR="00286D77" w:rsidRPr="00CE4F68" w:rsidRDefault="00286D77" w:rsidP="00286D77">
      <w:pPr>
        <w:pStyle w:val="ListParagraph"/>
        <w:numPr>
          <w:ilvl w:val="1"/>
          <w:numId w:val="23"/>
        </w:numPr>
      </w:pPr>
      <w:r w:rsidRPr="00CE4F68">
        <w:t>Date and time of action. </w:t>
      </w:r>
    </w:p>
    <w:p w14:paraId="2E368247" w14:textId="77777777" w:rsidR="00286D77" w:rsidRPr="00C074B2" w:rsidRDefault="00286D77" w:rsidP="00286D77">
      <w:pPr>
        <w:pStyle w:val="ListParagraph"/>
        <w:numPr>
          <w:ilvl w:val="1"/>
          <w:numId w:val="23"/>
        </w:numPr>
        <w:textAlignment w:val="baseline"/>
        <w:rPr>
          <w:rFonts w:ascii="Aptos" w:hAnsi="Aptos"/>
        </w:rPr>
      </w:pPr>
      <w:r w:rsidRPr="00CE4F68">
        <w:rPr>
          <w:rFonts w:eastAsiaTheme="majorEastAsia"/>
        </w:rPr>
        <w:t>Description of data accessed or reference window</w:t>
      </w:r>
      <w:r>
        <w:rPr>
          <w:rFonts w:eastAsiaTheme="majorEastAsia"/>
        </w:rPr>
        <w:t xml:space="preserve"> name</w:t>
      </w:r>
      <w:r w:rsidRPr="00CE4F68">
        <w:rPr>
          <w:rFonts w:eastAsiaTheme="majorEastAsia"/>
        </w:rPr>
        <w:t xml:space="preserve"> (e.g., demographics, lab results, clinical note). </w:t>
      </w:r>
    </w:p>
    <w:p w14:paraId="7C30A32C" w14:textId="77777777" w:rsidR="00286D77" w:rsidRDefault="00286D77" w:rsidP="00286D77">
      <w:pPr>
        <w:pStyle w:val="ListParagraph"/>
        <w:numPr>
          <w:ilvl w:val="1"/>
          <w:numId w:val="23"/>
        </w:numPr>
      </w:pPr>
      <w:r w:rsidRPr="00CE4F68">
        <w:t xml:space="preserve">Identifier of </w:t>
      </w:r>
      <w:r>
        <w:t>patient(s)</w:t>
      </w:r>
      <w:r w:rsidRPr="00CE4F68">
        <w:t xml:space="preserve"> (e.g., </w:t>
      </w:r>
      <w:r>
        <w:t xml:space="preserve">name, patient ID number, or </w:t>
      </w:r>
      <w:r w:rsidRPr="00CE4F68">
        <w:t>medical record number)</w:t>
      </w:r>
      <w:r>
        <w:t xml:space="preserve">. </w:t>
      </w:r>
    </w:p>
    <w:p w14:paraId="70F0D6D4" w14:textId="77777777" w:rsidR="00286D77" w:rsidRPr="00CE4F68" w:rsidRDefault="00286D77" w:rsidP="00286D77">
      <w:pPr>
        <w:pStyle w:val="ListParagraph"/>
        <w:numPr>
          <w:ilvl w:val="2"/>
          <w:numId w:val="23"/>
        </w:numPr>
      </w:pPr>
      <w:r>
        <w:t xml:space="preserve">For </w:t>
      </w:r>
      <w:r w:rsidRPr="00573AA1">
        <w:rPr>
          <w:b/>
          <w:bCs/>
        </w:rPr>
        <w:t>List Access</w:t>
      </w:r>
      <w:r>
        <w:rPr>
          <w:b/>
          <w:bCs/>
        </w:rPr>
        <w:t>,</w:t>
      </w:r>
      <w:r>
        <w:t xml:space="preserve"> having the ability to determine which patients were displayed when the user accessed the list would be an acceptable compensating control with confirmation from the vendor that the report was thorough and accurate.</w:t>
      </w:r>
    </w:p>
    <w:p w14:paraId="626E68FE" w14:textId="77777777" w:rsidR="00286D77" w:rsidRPr="0039129A" w:rsidRDefault="00286D77" w:rsidP="00286D77">
      <w:pPr>
        <w:pStyle w:val="ListParagraph"/>
        <w:numPr>
          <w:ilvl w:val="0"/>
          <w:numId w:val="23"/>
        </w:numPr>
        <w:textAlignment w:val="baseline"/>
        <w:rPr>
          <w:rStyle w:val="eop"/>
          <w:rFonts w:ascii="Aptos" w:hAnsi="Aptos"/>
        </w:rPr>
      </w:pPr>
      <w:r w:rsidRPr="0039129A">
        <w:rPr>
          <w:rStyle w:val="normaltextrun"/>
          <w:rFonts w:ascii="Aptos" w:eastAsiaTheme="majorEastAsia" w:hAnsi="Aptos"/>
        </w:rPr>
        <w:t>Access to Audit Logs</w:t>
      </w:r>
      <w:r w:rsidRPr="0039129A">
        <w:rPr>
          <w:rStyle w:val="eop"/>
          <w:rFonts w:ascii="Aptos" w:eastAsiaTheme="majorEastAsia" w:hAnsi="Aptos"/>
        </w:rPr>
        <w:t xml:space="preserve">: </w:t>
      </w:r>
      <w:r w:rsidRPr="0039129A">
        <w:rPr>
          <w:rStyle w:val="normaltextrun"/>
          <w:rFonts w:ascii="Aptos" w:eastAsiaTheme="majorEastAsia" w:hAnsi="Aptos"/>
        </w:rPr>
        <w:t>Customer can access the above-mentioned audit logs via the application.</w:t>
      </w:r>
      <w:r w:rsidRPr="0039129A">
        <w:rPr>
          <w:rStyle w:val="eop"/>
          <w:rFonts w:ascii="Aptos" w:eastAsiaTheme="majorEastAsia" w:hAnsi="Aptos"/>
        </w:rPr>
        <w:t> </w:t>
      </w:r>
    </w:p>
    <w:p w14:paraId="40BEBA5B" w14:textId="77777777" w:rsidR="00286D77" w:rsidRPr="00263FC0" w:rsidRDefault="00286D77" w:rsidP="00286D77">
      <w:pPr>
        <w:pStyle w:val="ListParagraph"/>
        <w:numPr>
          <w:ilvl w:val="0"/>
          <w:numId w:val="23"/>
        </w:numPr>
        <w:textAlignment w:val="baseline"/>
        <w:rPr>
          <w:rStyle w:val="eop"/>
          <w:rFonts w:ascii="Aptos" w:hAnsi="Aptos"/>
        </w:rPr>
      </w:pPr>
      <w:r w:rsidRPr="0039129A">
        <w:rPr>
          <w:rStyle w:val="normaltextrun"/>
          <w:rFonts w:ascii="Aptos" w:eastAsiaTheme="majorEastAsia" w:hAnsi="Aptos"/>
        </w:rPr>
        <w:t>Log Retention</w:t>
      </w:r>
      <w:r w:rsidRPr="0039129A">
        <w:rPr>
          <w:rStyle w:val="eop"/>
          <w:rFonts w:ascii="Aptos" w:eastAsiaTheme="majorEastAsia" w:hAnsi="Aptos"/>
        </w:rPr>
        <w:t xml:space="preserve">: </w:t>
      </w:r>
      <w:r w:rsidRPr="0039129A">
        <w:rPr>
          <w:rStyle w:val="normaltextrun"/>
          <w:rFonts w:ascii="Aptos" w:eastAsiaTheme="majorEastAsia" w:hAnsi="Aptos"/>
        </w:rPr>
        <w:t>The above-mentioned audit logs are available for no less than 12 months.</w:t>
      </w:r>
      <w:r w:rsidRPr="0039129A">
        <w:rPr>
          <w:rStyle w:val="eop"/>
          <w:rFonts w:ascii="Aptos" w:eastAsiaTheme="majorEastAsia" w:hAnsi="Aptos"/>
        </w:rPr>
        <w:t> </w:t>
      </w:r>
    </w:p>
    <w:p w14:paraId="700005FB" w14:textId="77777777" w:rsidR="00286D77" w:rsidRPr="00263FC0" w:rsidRDefault="00286D77" w:rsidP="00286D77">
      <w:pPr>
        <w:pStyle w:val="ListParagraph"/>
        <w:numPr>
          <w:ilvl w:val="0"/>
          <w:numId w:val="23"/>
        </w:numPr>
        <w:textAlignment w:val="baseline"/>
        <w:rPr>
          <w:rFonts w:ascii="Aptos" w:hAnsi="Aptos"/>
        </w:rPr>
      </w:pPr>
      <w:r w:rsidRPr="00263FC0">
        <w:rPr>
          <w:rStyle w:val="normaltextrun"/>
          <w:rFonts w:ascii="Aptos" w:eastAsiaTheme="majorEastAsia" w:hAnsi="Aptos"/>
        </w:rPr>
        <w:t>Log Integrity</w:t>
      </w:r>
      <w:r w:rsidRPr="00263FC0">
        <w:rPr>
          <w:rStyle w:val="eop"/>
          <w:rFonts w:ascii="Aptos" w:eastAsiaTheme="majorEastAsia" w:hAnsi="Aptos"/>
        </w:rPr>
        <w:t xml:space="preserve">: </w:t>
      </w:r>
      <w:r>
        <w:rPr>
          <w:rStyle w:val="eop"/>
          <w:rFonts w:ascii="Aptos" w:eastAsiaTheme="majorEastAsia" w:hAnsi="Aptos"/>
        </w:rPr>
        <w:t xml:space="preserve">Vendor implements protections to ensure that </w:t>
      </w:r>
      <w:r w:rsidRPr="00263FC0">
        <w:rPr>
          <w:rStyle w:val="normaltextrun"/>
          <w:rFonts w:ascii="Aptos" w:eastAsiaTheme="majorEastAsia" w:hAnsi="Aptos"/>
        </w:rPr>
        <w:t>audit logs cannot be modified by the customer or vendor.</w:t>
      </w:r>
      <w:r w:rsidRPr="00263FC0">
        <w:rPr>
          <w:rStyle w:val="eop"/>
          <w:rFonts w:ascii="Aptos" w:eastAsiaTheme="majorEastAsia" w:hAnsi="Aptos"/>
        </w:rPr>
        <w:t> </w:t>
      </w:r>
    </w:p>
    <w:p w14:paraId="4BF24E9E" w14:textId="77777777" w:rsidR="00286D77" w:rsidRDefault="00286D77" w:rsidP="00286D77">
      <w:pPr>
        <w:pStyle w:val="EndnoteText"/>
      </w:pPr>
    </w:p>
  </w:endnote>
  <w:endnote w:id="2">
    <w:p w14:paraId="29BED48C" w14:textId="77777777" w:rsidR="00286D77" w:rsidRPr="00B26500" w:rsidRDefault="00286D77" w:rsidP="00286D77">
      <w:pPr>
        <w:pStyle w:val="EndnoteText"/>
        <w:rPr>
          <w:b/>
          <w:bCs/>
          <w:sz w:val="28"/>
          <w:szCs w:val="28"/>
        </w:rPr>
      </w:pPr>
      <w:r w:rsidRPr="00B26500">
        <w:rPr>
          <w:rStyle w:val="EndnoteReference"/>
          <w:b/>
          <w:bCs/>
          <w:sz w:val="28"/>
          <w:szCs w:val="28"/>
        </w:rPr>
        <w:endnoteRef/>
      </w:r>
      <w:r w:rsidRPr="00B26500">
        <w:rPr>
          <w:b/>
          <w:bCs/>
          <w:sz w:val="28"/>
          <w:szCs w:val="28"/>
        </w:rPr>
        <w:t xml:space="preserve"> Authentication Requirements</w:t>
      </w:r>
    </w:p>
    <w:p w14:paraId="18ECCDD6" w14:textId="77777777" w:rsidR="00286D77" w:rsidRDefault="00286D77" w:rsidP="00286D77">
      <w:pPr>
        <w:pStyle w:val="EndnoteText"/>
        <w:rPr>
          <w:sz w:val="28"/>
          <w:szCs w:val="28"/>
        </w:rPr>
      </w:pPr>
    </w:p>
    <w:p w14:paraId="4FA14F73" w14:textId="77777777" w:rsidR="00286D77" w:rsidRPr="00127853" w:rsidRDefault="00286D77" w:rsidP="00286D77">
      <w:pPr>
        <w:rPr>
          <w:b/>
          <w:bCs/>
        </w:rPr>
      </w:pPr>
      <w:r w:rsidRPr="00127853">
        <w:rPr>
          <w:b/>
          <w:bCs/>
        </w:rPr>
        <w:t>The solution must support one of the following authentication methods:</w:t>
      </w:r>
    </w:p>
    <w:p w14:paraId="7A71DE44" w14:textId="77777777" w:rsidR="00286D77" w:rsidRPr="00127853" w:rsidRDefault="00286D77" w:rsidP="00286D77">
      <w:pPr>
        <w:pStyle w:val="ListParagraph"/>
        <w:numPr>
          <w:ilvl w:val="0"/>
          <w:numId w:val="26"/>
        </w:numPr>
      </w:pPr>
      <w:r w:rsidRPr="00127853">
        <w:t xml:space="preserve">Single Sign-On (SSO) via the </w:t>
      </w:r>
      <w:r>
        <w:t>UM System’s</w:t>
      </w:r>
      <w:r w:rsidRPr="00127853">
        <w:t xml:space="preserve"> Microsoft Azure instance</w:t>
      </w:r>
    </w:p>
    <w:p w14:paraId="7D68E1B1" w14:textId="77777777" w:rsidR="00286D77" w:rsidRPr="00127853" w:rsidRDefault="00286D77" w:rsidP="00286D77">
      <w:pPr>
        <w:pStyle w:val="ListParagraph"/>
        <w:numPr>
          <w:ilvl w:val="0"/>
          <w:numId w:val="26"/>
        </w:numPr>
      </w:pPr>
      <w:r w:rsidRPr="00127853">
        <w:t xml:space="preserve">Integration with the </w:t>
      </w:r>
      <w:r>
        <w:t>UM’ Systems</w:t>
      </w:r>
      <w:r w:rsidRPr="00127853">
        <w:t xml:space="preserve"> LDAP directory</w:t>
      </w:r>
    </w:p>
    <w:p w14:paraId="3BA74168" w14:textId="77777777" w:rsidR="00286D77" w:rsidRPr="00127853" w:rsidRDefault="00286D77" w:rsidP="00286D77">
      <w:pPr>
        <w:pStyle w:val="ListParagraph"/>
        <w:numPr>
          <w:ilvl w:val="0"/>
          <w:numId w:val="26"/>
        </w:numPr>
      </w:pPr>
      <w:r w:rsidRPr="00127853">
        <w:t>Application-based authentication that meets the criteria outlined below</w:t>
      </w:r>
    </w:p>
    <w:p w14:paraId="1A85013C" w14:textId="77777777" w:rsidR="00286D77" w:rsidRPr="00127853" w:rsidRDefault="00286D77" w:rsidP="00286D77">
      <w:pPr>
        <w:rPr>
          <w:b/>
          <w:bCs/>
        </w:rPr>
      </w:pPr>
      <w:r w:rsidRPr="00127853">
        <w:rPr>
          <w:b/>
          <w:bCs/>
        </w:rPr>
        <w:t>If using application-based authentication, the solution must:</w:t>
      </w:r>
    </w:p>
    <w:p w14:paraId="7B8D1516" w14:textId="77777777" w:rsidR="00286D77" w:rsidRPr="00127853" w:rsidRDefault="00286D77" w:rsidP="00286D77">
      <w:pPr>
        <w:pStyle w:val="ListParagraph"/>
        <w:numPr>
          <w:ilvl w:val="0"/>
          <w:numId w:val="27"/>
        </w:numPr>
      </w:pPr>
      <w:r w:rsidRPr="00127853">
        <w:t>Support multi-factor authentication (MFA) using an authenticator app</w:t>
      </w:r>
    </w:p>
    <w:p w14:paraId="6E6EF955" w14:textId="77777777" w:rsidR="00286D77" w:rsidRDefault="00286D77" w:rsidP="00286D77">
      <w:pPr>
        <w:pStyle w:val="ListParagraph"/>
        <w:numPr>
          <w:ilvl w:val="0"/>
          <w:numId w:val="27"/>
        </w:numPr>
      </w:pPr>
      <w:r w:rsidRPr="00127853">
        <w:t>Alternatively, support email or SMS-based MFA combined with IP allow-listing</w:t>
      </w:r>
    </w:p>
    <w:p w14:paraId="326013F6" w14:textId="77777777" w:rsidR="00286D77" w:rsidRDefault="00286D77" w:rsidP="00286D77">
      <w:pPr>
        <w:rPr>
          <w:b/>
          <w:bCs/>
        </w:rPr>
      </w:pPr>
      <w:r w:rsidRPr="00BB461F">
        <w:rPr>
          <w:b/>
          <w:bCs/>
        </w:rPr>
        <w:t>If the application is internet-accessible and hosted by the vendor:</w:t>
      </w:r>
    </w:p>
    <w:p w14:paraId="2AEA955E" w14:textId="77777777" w:rsidR="00286D77" w:rsidRDefault="00286D77" w:rsidP="00286D77">
      <w:pPr>
        <w:pStyle w:val="ListParagraph"/>
        <w:numPr>
          <w:ilvl w:val="0"/>
          <w:numId w:val="28"/>
        </w:numPr>
      </w:pPr>
      <w:r w:rsidRPr="00127853">
        <w:t>The vendor must confirm that login activity logs are actively monitored for suspicious access attempts.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858869"/>
      <w:docPartObj>
        <w:docPartGallery w:val="Page Numbers (Bottom of Page)"/>
        <w:docPartUnique/>
      </w:docPartObj>
    </w:sdtPr>
    <w:sdtContent>
      <w:p w14:paraId="49BC2CFD" w14:textId="0C6FE82F" w:rsidR="00A43273" w:rsidRDefault="00D3777D" w:rsidP="00D3777D">
        <w:pPr>
          <w:pStyle w:val="Footer"/>
        </w:pPr>
        <w:r>
          <w:t xml:space="preserve">RFI </w:t>
        </w:r>
        <w:r w:rsidRPr="00791085">
          <w:t>#</w:t>
        </w:r>
        <w:r w:rsidR="00791085" w:rsidRPr="00791085">
          <w:t>31210</w:t>
        </w:r>
        <w:r>
          <w:tab/>
        </w:r>
        <w:r>
          <w:tab/>
        </w:r>
        <w:r w:rsidR="00A43273">
          <w:t xml:space="preserve">Page | </w:t>
        </w:r>
        <w:r w:rsidR="00A43273">
          <w:fldChar w:fldCharType="begin"/>
        </w:r>
        <w:r w:rsidR="00A43273">
          <w:instrText xml:space="preserve"> PAGE   \* MERGEFORMAT </w:instrText>
        </w:r>
        <w:r w:rsidR="00A43273">
          <w:fldChar w:fldCharType="separate"/>
        </w:r>
        <w:r w:rsidR="00A43273">
          <w:rPr>
            <w:noProof/>
          </w:rPr>
          <w:t>2</w:t>
        </w:r>
        <w:r w:rsidR="00A43273">
          <w:rPr>
            <w:noProof/>
          </w:rPr>
          <w:fldChar w:fldCharType="end"/>
        </w:r>
        <w:r w:rsidR="00A43273">
          <w:t xml:space="preserve"> </w:t>
        </w:r>
      </w:p>
    </w:sdtContent>
  </w:sdt>
  <w:p w14:paraId="0EEE99DE" w14:textId="77777777" w:rsidR="00A43273" w:rsidRDefault="00A43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FFA0F" w14:textId="77777777" w:rsidR="006F7FFB" w:rsidRDefault="006F7FFB" w:rsidP="00A43273">
      <w:pPr>
        <w:spacing w:after="0" w:line="240" w:lineRule="auto"/>
      </w:pPr>
      <w:r>
        <w:separator/>
      </w:r>
    </w:p>
  </w:footnote>
  <w:footnote w:type="continuationSeparator" w:id="0">
    <w:p w14:paraId="3675BD9D" w14:textId="77777777" w:rsidR="006F7FFB" w:rsidRDefault="006F7FFB" w:rsidP="00A432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67ED"/>
    <w:multiLevelType w:val="multilevel"/>
    <w:tmpl w:val="ADEE0A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E1E19"/>
    <w:multiLevelType w:val="hybridMultilevel"/>
    <w:tmpl w:val="B0FA08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D01E6"/>
    <w:multiLevelType w:val="multilevel"/>
    <w:tmpl w:val="ADEE0A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65ED7"/>
    <w:multiLevelType w:val="multilevel"/>
    <w:tmpl w:val="5AFE5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A63756"/>
    <w:multiLevelType w:val="hybridMultilevel"/>
    <w:tmpl w:val="3E8E3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4C7A92"/>
    <w:multiLevelType w:val="multilevel"/>
    <w:tmpl w:val="1438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2B0951"/>
    <w:multiLevelType w:val="hybridMultilevel"/>
    <w:tmpl w:val="AAAE63B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46B2C8C"/>
    <w:multiLevelType w:val="multilevel"/>
    <w:tmpl w:val="ADEE0A50"/>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3B114DAB"/>
    <w:multiLevelType w:val="hybridMultilevel"/>
    <w:tmpl w:val="BE4C0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1315EB"/>
    <w:multiLevelType w:val="multilevel"/>
    <w:tmpl w:val="ADEE0A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98654D"/>
    <w:multiLevelType w:val="multilevel"/>
    <w:tmpl w:val="0C846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9B449C"/>
    <w:multiLevelType w:val="hybridMultilevel"/>
    <w:tmpl w:val="B494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4B2D63"/>
    <w:multiLevelType w:val="hybridMultilevel"/>
    <w:tmpl w:val="DF9CE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32442"/>
    <w:multiLevelType w:val="hybridMultilevel"/>
    <w:tmpl w:val="58F29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5818EF"/>
    <w:multiLevelType w:val="multilevel"/>
    <w:tmpl w:val="ADEE0A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EB046A"/>
    <w:multiLevelType w:val="multilevel"/>
    <w:tmpl w:val="ADEE0A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D64BA3"/>
    <w:multiLevelType w:val="hybridMultilevel"/>
    <w:tmpl w:val="6D861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AB00DD"/>
    <w:multiLevelType w:val="multilevel"/>
    <w:tmpl w:val="BABC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037D86"/>
    <w:multiLevelType w:val="multilevel"/>
    <w:tmpl w:val="ADEE0A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DD5C9F"/>
    <w:multiLevelType w:val="multilevel"/>
    <w:tmpl w:val="ADEE0A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863CE2"/>
    <w:multiLevelType w:val="multilevel"/>
    <w:tmpl w:val="B3DE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9728FB"/>
    <w:multiLevelType w:val="hybridMultilevel"/>
    <w:tmpl w:val="B8507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B1033"/>
    <w:multiLevelType w:val="multilevel"/>
    <w:tmpl w:val="414C7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2D4FE9"/>
    <w:multiLevelType w:val="hybridMultilevel"/>
    <w:tmpl w:val="A6AA4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797E61"/>
    <w:multiLevelType w:val="hybridMultilevel"/>
    <w:tmpl w:val="6B261F68"/>
    <w:lvl w:ilvl="0" w:tplc="0409000F">
      <w:start w:val="1"/>
      <w:numFmt w:val="decimal"/>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25" w15:restartNumberingAfterBreak="0">
    <w:nsid w:val="75D116DE"/>
    <w:multiLevelType w:val="hybridMultilevel"/>
    <w:tmpl w:val="F96C2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4B4418"/>
    <w:multiLevelType w:val="hybridMultilevel"/>
    <w:tmpl w:val="21DE8B26"/>
    <w:lvl w:ilvl="0" w:tplc="0409000F">
      <w:start w:val="1"/>
      <w:numFmt w:val="decimal"/>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27" w15:restartNumberingAfterBreak="0">
    <w:nsid w:val="7FCA4DEB"/>
    <w:multiLevelType w:val="multilevel"/>
    <w:tmpl w:val="F2F4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5039208">
    <w:abstractNumId w:val="24"/>
  </w:num>
  <w:num w:numId="2" w16cid:durableId="316686491">
    <w:abstractNumId w:val="1"/>
  </w:num>
  <w:num w:numId="3" w16cid:durableId="925070185">
    <w:abstractNumId w:val="26"/>
  </w:num>
  <w:num w:numId="4" w16cid:durableId="1859468190">
    <w:abstractNumId w:val="12"/>
  </w:num>
  <w:num w:numId="5" w16cid:durableId="921598342">
    <w:abstractNumId w:val="23"/>
  </w:num>
  <w:num w:numId="6" w16cid:durableId="713194368">
    <w:abstractNumId w:val="8"/>
  </w:num>
  <w:num w:numId="7" w16cid:durableId="1205361637">
    <w:abstractNumId w:val="10"/>
  </w:num>
  <w:num w:numId="8" w16cid:durableId="359622529">
    <w:abstractNumId w:val="3"/>
  </w:num>
  <w:num w:numId="9" w16cid:durableId="1452551009">
    <w:abstractNumId w:val="2"/>
  </w:num>
  <w:num w:numId="10" w16cid:durableId="682971166">
    <w:abstractNumId w:val="20"/>
  </w:num>
  <w:num w:numId="11" w16cid:durableId="1212494553">
    <w:abstractNumId w:val="22"/>
  </w:num>
  <w:num w:numId="12" w16cid:durableId="1925139671">
    <w:abstractNumId w:val="0"/>
  </w:num>
  <w:num w:numId="13" w16cid:durableId="532378105">
    <w:abstractNumId w:val="5"/>
  </w:num>
  <w:num w:numId="14" w16cid:durableId="1259633834">
    <w:abstractNumId w:val="9"/>
  </w:num>
  <w:num w:numId="15" w16cid:durableId="1150750847">
    <w:abstractNumId w:val="17"/>
  </w:num>
  <w:num w:numId="16" w16cid:durableId="462238604">
    <w:abstractNumId w:val="27"/>
  </w:num>
  <w:num w:numId="17" w16cid:durableId="1681086360">
    <w:abstractNumId w:val="15"/>
  </w:num>
  <w:num w:numId="18" w16cid:durableId="877206291">
    <w:abstractNumId w:val="7"/>
  </w:num>
  <w:num w:numId="19" w16cid:durableId="1982616526">
    <w:abstractNumId w:val="19"/>
  </w:num>
  <w:num w:numId="20" w16cid:durableId="661935652">
    <w:abstractNumId w:val="18"/>
  </w:num>
  <w:num w:numId="21" w16cid:durableId="194001945">
    <w:abstractNumId w:val="14"/>
  </w:num>
  <w:num w:numId="22" w16cid:durableId="705375286">
    <w:abstractNumId w:val="6"/>
  </w:num>
  <w:num w:numId="23" w16cid:durableId="1604731160">
    <w:abstractNumId w:val="25"/>
  </w:num>
  <w:num w:numId="24" w16cid:durableId="974720615">
    <w:abstractNumId w:val="11"/>
  </w:num>
  <w:num w:numId="25" w16cid:durableId="1661886154">
    <w:abstractNumId w:val="4"/>
  </w:num>
  <w:num w:numId="26" w16cid:durableId="923225538">
    <w:abstractNumId w:val="13"/>
  </w:num>
  <w:num w:numId="27" w16cid:durableId="376009403">
    <w:abstractNumId w:val="16"/>
  </w:num>
  <w:num w:numId="28" w16cid:durableId="67571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396"/>
    <w:rsid w:val="000A62CE"/>
    <w:rsid w:val="000D1269"/>
    <w:rsid w:val="00111263"/>
    <w:rsid w:val="0018258E"/>
    <w:rsid w:val="00191183"/>
    <w:rsid w:val="001C3400"/>
    <w:rsid w:val="001D163C"/>
    <w:rsid w:val="00283389"/>
    <w:rsid w:val="00286D77"/>
    <w:rsid w:val="00287906"/>
    <w:rsid w:val="00290D25"/>
    <w:rsid w:val="00352D98"/>
    <w:rsid w:val="003A1CBA"/>
    <w:rsid w:val="00456190"/>
    <w:rsid w:val="004D059C"/>
    <w:rsid w:val="00595FDF"/>
    <w:rsid w:val="005B5D06"/>
    <w:rsid w:val="005B7886"/>
    <w:rsid w:val="005F3C89"/>
    <w:rsid w:val="006211FA"/>
    <w:rsid w:val="006F7FFB"/>
    <w:rsid w:val="00780F91"/>
    <w:rsid w:val="00791085"/>
    <w:rsid w:val="007A702C"/>
    <w:rsid w:val="008F4754"/>
    <w:rsid w:val="00943F28"/>
    <w:rsid w:val="00973EE7"/>
    <w:rsid w:val="009928F7"/>
    <w:rsid w:val="009A0E0F"/>
    <w:rsid w:val="009D2396"/>
    <w:rsid w:val="009F713C"/>
    <w:rsid w:val="00A345C2"/>
    <w:rsid w:val="00A43273"/>
    <w:rsid w:val="00A46D72"/>
    <w:rsid w:val="00A476EF"/>
    <w:rsid w:val="00AB0F82"/>
    <w:rsid w:val="00AB641D"/>
    <w:rsid w:val="00AB717C"/>
    <w:rsid w:val="00B15D9E"/>
    <w:rsid w:val="00B448D2"/>
    <w:rsid w:val="00C74806"/>
    <w:rsid w:val="00C7480B"/>
    <w:rsid w:val="00D3777D"/>
    <w:rsid w:val="00DB18C8"/>
    <w:rsid w:val="00DC2F03"/>
    <w:rsid w:val="00DE7BE0"/>
    <w:rsid w:val="00DF47E0"/>
    <w:rsid w:val="00E33060"/>
    <w:rsid w:val="00EA496D"/>
    <w:rsid w:val="00F10241"/>
    <w:rsid w:val="00F1405A"/>
    <w:rsid w:val="00F35252"/>
    <w:rsid w:val="00F46A99"/>
    <w:rsid w:val="00F54A6D"/>
    <w:rsid w:val="00FB6B5B"/>
    <w:rsid w:val="00FC17CF"/>
    <w:rsid w:val="00FD45D7"/>
    <w:rsid w:val="00FE3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03311"/>
  <w15:chartTrackingRefBased/>
  <w15:docId w15:val="{DA6D74CD-AAC6-46D8-94E6-750C33E72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F28"/>
    <w:pPr>
      <w:ind w:left="720"/>
      <w:contextualSpacing/>
    </w:pPr>
  </w:style>
  <w:style w:type="paragraph" w:styleId="BodyText">
    <w:name w:val="Body Text"/>
    <w:basedOn w:val="Normal"/>
    <w:link w:val="BodyTextChar"/>
    <w:uiPriority w:val="99"/>
    <w:semiHidden/>
    <w:unhideWhenUsed/>
    <w:rsid w:val="00111263"/>
    <w:pPr>
      <w:spacing w:after="120" w:line="276" w:lineRule="auto"/>
    </w:pPr>
  </w:style>
  <w:style w:type="character" w:customStyle="1" w:styleId="BodyTextChar">
    <w:name w:val="Body Text Char"/>
    <w:basedOn w:val="DefaultParagraphFont"/>
    <w:link w:val="BodyText"/>
    <w:uiPriority w:val="99"/>
    <w:semiHidden/>
    <w:rsid w:val="00111263"/>
  </w:style>
  <w:style w:type="paragraph" w:styleId="Header">
    <w:name w:val="header"/>
    <w:basedOn w:val="Normal"/>
    <w:link w:val="HeaderChar"/>
    <w:uiPriority w:val="99"/>
    <w:unhideWhenUsed/>
    <w:rsid w:val="00A43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273"/>
  </w:style>
  <w:style w:type="paragraph" w:styleId="Footer">
    <w:name w:val="footer"/>
    <w:basedOn w:val="Normal"/>
    <w:link w:val="FooterChar"/>
    <w:uiPriority w:val="99"/>
    <w:unhideWhenUsed/>
    <w:rsid w:val="00A43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273"/>
  </w:style>
  <w:style w:type="character" w:styleId="Hyperlink">
    <w:name w:val="Hyperlink"/>
    <w:basedOn w:val="DefaultParagraphFont"/>
    <w:uiPriority w:val="99"/>
    <w:unhideWhenUsed/>
    <w:rsid w:val="00D3777D"/>
    <w:rPr>
      <w:color w:val="0563C1" w:themeColor="hyperlink"/>
      <w:u w:val="single"/>
    </w:rPr>
  </w:style>
  <w:style w:type="character" w:styleId="UnresolvedMention">
    <w:name w:val="Unresolved Mention"/>
    <w:basedOn w:val="DefaultParagraphFont"/>
    <w:uiPriority w:val="99"/>
    <w:semiHidden/>
    <w:unhideWhenUsed/>
    <w:rsid w:val="00AB641D"/>
    <w:rPr>
      <w:color w:val="605E5C"/>
      <w:shd w:val="clear" w:color="auto" w:fill="E1DFDD"/>
    </w:rPr>
  </w:style>
  <w:style w:type="character" w:styleId="CommentReference">
    <w:name w:val="annotation reference"/>
    <w:basedOn w:val="DefaultParagraphFont"/>
    <w:uiPriority w:val="99"/>
    <w:semiHidden/>
    <w:unhideWhenUsed/>
    <w:rsid w:val="00DE7BE0"/>
    <w:rPr>
      <w:sz w:val="16"/>
      <w:szCs w:val="16"/>
    </w:rPr>
  </w:style>
  <w:style w:type="paragraph" w:styleId="CommentText">
    <w:name w:val="annotation text"/>
    <w:basedOn w:val="Normal"/>
    <w:link w:val="CommentTextChar"/>
    <w:uiPriority w:val="99"/>
    <w:unhideWhenUsed/>
    <w:rsid w:val="00DE7BE0"/>
    <w:pPr>
      <w:spacing w:line="240" w:lineRule="auto"/>
    </w:pPr>
    <w:rPr>
      <w:sz w:val="20"/>
      <w:szCs w:val="20"/>
    </w:rPr>
  </w:style>
  <w:style w:type="character" w:customStyle="1" w:styleId="CommentTextChar">
    <w:name w:val="Comment Text Char"/>
    <w:basedOn w:val="DefaultParagraphFont"/>
    <w:link w:val="CommentText"/>
    <w:uiPriority w:val="99"/>
    <w:rsid w:val="00DE7BE0"/>
    <w:rPr>
      <w:sz w:val="20"/>
      <w:szCs w:val="20"/>
    </w:rPr>
  </w:style>
  <w:style w:type="paragraph" w:styleId="NormalWeb">
    <w:name w:val="Normal (Web)"/>
    <w:basedOn w:val="Normal"/>
    <w:uiPriority w:val="99"/>
    <w:semiHidden/>
    <w:unhideWhenUsed/>
    <w:rsid w:val="000A62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62CE"/>
    <w:rPr>
      <w:b/>
      <w:bCs/>
    </w:rPr>
  </w:style>
  <w:style w:type="table" w:styleId="TableGrid">
    <w:name w:val="Table Grid"/>
    <w:basedOn w:val="TableNormal"/>
    <w:uiPriority w:val="39"/>
    <w:rsid w:val="00286D7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86D77"/>
    <w:pPr>
      <w:spacing w:after="0" w:line="240" w:lineRule="auto"/>
    </w:pPr>
    <w:rPr>
      <w:kern w:val="2"/>
      <w:sz w:val="20"/>
      <w:szCs w:val="20"/>
      <w14:ligatures w14:val="standardContextual"/>
    </w:rPr>
  </w:style>
  <w:style w:type="character" w:customStyle="1" w:styleId="EndnoteTextChar">
    <w:name w:val="Endnote Text Char"/>
    <w:basedOn w:val="DefaultParagraphFont"/>
    <w:link w:val="EndnoteText"/>
    <w:uiPriority w:val="99"/>
    <w:semiHidden/>
    <w:rsid w:val="00286D77"/>
    <w:rPr>
      <w:kern w:val="2"/>
      <w:sz w:val="20"/>
      <w:szCs w:val="20"/>
      <w14:ligatures w14:val="standardContextual"/>
    </w:rPr>
  </w:style>
  <w:style w:type="character" w:styleId="EndnoteReference">
    <w:name w:val="endnote reference"/>
    <w:basedOn w:val="DefaultParagraphFont"/>
    <w:uiPriority w:val="99"/>
    <w:semiHidden/>
    <w:unhideWhenUsed/>
    <w:rsid w:val="00286D77"/>
    <w:rPr>
      <w:vertAlign w:val="superscript"/>
    </w:rPr>
  </w:style>
  <w:style w:type="character" w:customStyle="1" w:styleId="normaltextrun">
    <w:name w:val="normaltextrun"/>
    <w:basedOn w:val="DefaultParagraphFont"/>
    <w:rsid w:val="00286D77"/>
  </w:style>
  <w:style w:type="character" w:customStyle="1" w:styleId="eop">
    <w:name w:val="eop"/>
    <w:basedOn w:val="DefaultParagraphFont"/>
    <w:rsid w:val="00286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660200">
      <w:bodyDiv w:val="1"/>
      <w:marLeft w:val="0"/>
      <w:marRight w:val="0"/>
      <w:marTop w:val="0"/>
      <w:marBottom w:val="0"/>
      <w:divBdr>
        <w:top w:val="none" w:sz="0" w:space="0" w:color="auto"/>
        <w:left w:val="none" w:sz="0" w:space="0" w:color="auto"/>
        <w:bottom w:val="none" w:sz="0" w:space="0" w:color="auto"/>
        <w:right w:val="none" w:sz="0" w:space="0" w:color="auto"/>
      </w:divBdr>
      <w:divsChild>
        <w:div w:id="1075780015">
          <w:marLeft w:val="0"/>
          <w:marRight w:val="0"/>
          <w:marTop w:val="0"/>
          <w:marBottom w:val="0"/>
          <w:divBdr>
            <w:top w:val="none" w:sz="0" w:space="0" w:color="auto"/>
            <w:left w:val="none" w:sz="0" w:space="0" w:color="auto"/>
            <w:bottom w:val="none" w:sz="0" w:space="0" w:color="auto"/>
            <w:right w:val="none" w:sz="0" w:space="0" w:color="auto"/>
          </w:divBdr>
          <w:divsChild>
            <w:div w:id="331489507">
              <w:marLeft w:val="0"/>
              <w:marRight w:val="0"/>
              <w:marTop w:val="0"/>
              <w:marBottom w:val="0"/>
              <w:divBdr>
                <w:top w:val="none" w:sz="0" w:space="0" w:color="auto"/>
                <w:left w:val="none" w:sz="0" w:space="0" w:color="auto"/>
                <w:bottom w:val="none" w:sz="0" w:space="0" w:color="auto"/>
                <w:right w:val="none" w:sz="0" w:space="0" w:color="auto"/>
              </w:divBdr>
              <w:divsChild>
                <w:div w:id="173666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missouri.sharepoint.com/sites/umhs-mymu-information-security/Documentation/References/MUHC%20Information%20Security%20-%20RFP%20Mandatory%20and%20Desired.docx" TargetMode="External"/><Relationship Id="rId3" Type="http://schemas.openxmlformats.org/officeDocument/2006/relationships/settings" Target="settings.xml"/><Relationship Id="rId7" Type="http://schemas.openxmlformats.org/officeDocument/2006/relationships/hyperlink" Target="mailto:maddoxml@health.missouri.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12</Pages>
  <Words>2237</Words>
  <Characters>12912</Characters>
  <Application>Microsoft Office Word</Application>
  <DocSecurity>0</DocSecurity>
  <Lines>307</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Piranio, Michelle M.</dc:creator>
  <cp:keywords/>
  <dc:description/>
  <cp:lastModifiedBy>Maddox, Marcy</cp:lastModifiedBy>
  <cp:revision>4</cp:revision>
  <cp:lastPrinted>2020-09-23T15:41:00Z</cp:lastPrinted>
  <dcterms:created xsi:type="dcterms:W3CDTF">2026-01-15T13:13:00Z</dcterms:created>
  <dcterms:modified xsi:type="dcterms:W3CDTF">2026-01-15T13:57:00Z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40bfc2730683893d23a2fe53ac2fcb19ef1593b395840aec0d77c81ea4fcc516</vt:lpwstr>
  </property>
</Properties>
</file>