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73E2" w14:textId="77777777" w:rsidR="00E769DA" w:rsidRPr="00925A90" w:rsidRDefault="00E769DA" w:rsidP="001B5767">
      <w:pPr>
        <w:spacing w:after="0" w:line="240" w:lineRule="auto"/>
        <w:jc w:val="center"/>
        <w:rPr>
          <w:b/>
          <w:bCs/>
        </w:rPr>
      </w:pPr>
      <w:r w:rsidRPr="00925A90">
        <w:rPr>
          <w:b/>
          <w:bCs/>
        </w:rPr>
        <w:t>Addendum I</w:t>
      </w:r>
    </w:p>
    <w:p w14:paraId="3A96DECD" w14:textId="1485C568" w:rsidR="002F5B2F" w:rsidRPr="00925A90" w:rsidRDefault="00E769DA" w:rsidP="001B5767">
      <w:pPr>
        <w:spacing w:after="0" w:line="240" w:lineRule="auto"/>
        <w:jc w:val="center"/>
        <w:rPr>
          <w:b/>
          <w:bCs/>
        </w:rPr>
      </w:pPr>
      <w:r w:rsidRPr="00925A90">
        <w:rPr>
          <w:b/>
          <w:bCs/>
        </w:rPr>
        <w:t>RFP 31211</w:t>
      </w:r>
      <w:r w:rsidR="008E19B5" w:rsidRPr="00925A90">
        <w:rPr>
          <w:b/>
          <w:bCs/>
        </w:rPr>
        <w:t xml:space="preserve"> </w:t>
      </w:r>
    </w:p>
    <w:p w14:paraId="0432AA8E" w14:textId="2F41B2AC" w:rsidR="008E19B5" w:rsidRDefault="008E19B5" w:rsidP="001B5767">
      <w:pPr>
        <w:spacing w:after="0" w:line="240" w:lineRule="auto"/>
        <w:jc w:val="center"/>
        <w:rPr>
          <w:b/>
          <w:bCs/>
        </w:rPr>
      </w:pPr>
      <w:r w:rsidRPr="00925A90">
        <w:rPr>
          <w:b/>
          <w:bCs/>
        </w:rPr>
        <w:t>Responses to Vendor Submitted Questions</w:t>
      </w:r>
    </w:p>
    <w:p w14:paraId="3640C5CA" w14:textId="77777777" w:rsidR="00215432" w:rsidRDefault="00215432" w:rsidP="001B5767">
      <w:pPr>
        <w:spacing w:after="0" w:line="240" w:lineRule="auto"/>
        <w:jc w:val="center"/>
        <w:rPr>
          <w:b/>
          <w:bCs/>
        </w:rPr>
      </w:pPr>
    </w:p>
    <w:p w14:paraId="44327D10" w14:textId="72806BB5" w:rsidR="00215432" w:rsidRPr="00215432" w:rsidRDefault="00215432" w:rsidP="00215432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Responses will be accepted until Friday, </w:t>
      </w:r>
      <w:r w:rsidR="00BB2EC5">
        <w:rPr>
          <w:b/>
          <w:bCs/>
          <w:i/>
          <w:iCs/>
        </w:rPr>
        <w:t>March 6, 2026</w:t>
      </w:r>
      <w:r w:rsidR="005C5AF8">
        <w:rPr>
          <w:b/>
          <w:bCs/>
          <w:i/>
          <w:iCs/>
        </w:rPr>
        <w:t xml:space="preserve"> at 3pm</w:t>
      </w:r>
    </w:p>
    <w:p w14:paraId="1D953BAE" w14:textId="77777777" w:rsidR="008E19B5" w:rsidRPr="00925A90" w:rsidRDefault="008E19B5" w:rsidP="00E769DA">
      <w:pPr>
        <w:jc w:val="center"/>
      </w:pPr>
    </w:p>
    <w:p w14:paraId="31B51A44" w14:textId="18D04689" w:rsidR="001A088D" w:rsidRPr="00925A90" w:rsidRDefault="008E19B5" w:rsidP="001A088D">
      <w:r w:rsidRPr="00925A90">
        <w:t xml:space="preserve">Q: </w:t>
      </w:r>
      <w:r w:rsidR="001A088D" w:rsidRPr="00925A90">
        <w:t>How do we let MU Health know we wish to respond?</w:t>
      </w:r>
    </w:p>
    <w:p w14:paraId="5DAF8C9A" w14:textId="124DB643" w:rsidR="008E19B5" w:rsidRPr="00925A90" w:rsidRDefault="008E19B5" w:rsidP="001A088D">
      <w:r w:rsidRPr="00925A90">
        <w:t xml:space="preserve"> </w:t>
      </w:r>
      <w:r w:rsidR="00740BFD" w:rsidRPr="00925A90">
        <w:t>R: No formal notification is required</w:t>
      </w:r>
      <w:r w:rsidR="001C32AD">
        <w:t>;</w:t>
      </w:r>
      <w:r w:rsidR="00740BFD" w:rsidRPr="00925A90">
        <w:t xml:space="preserve"> in advance of </w:t>
      </w:r>
      <w:r w:rsidR="00F103FD" w:rsidRPr="00925A90">
        <w:t>the</w:t>
      </w:r>
      <w:r w:rsidR="00740BFD" w:rsidRPr="00925A90">
        <w:t xml:space="preserve"> interest in responding</w:t>
      </w:r>
      <w:r w:rsidR="00A45322" w:rsidRPr="00925A90">
        <w:t xml:space="preserve">. Respondents may submit their response in the requested format by the appropriate deadline. </w:t>
      </w:r>
    </w:p>
    <w:p w14:paraId="7B1B634F" w14:textId="0DD1789E" w:rsidR="001A088D" w:rsidRPr="00925A90" w:rsidRDefault="001A088D" w:rsidP="001A088D">
      <w:r w:rsidRPr="00925A90">
        <w:t xml:space="preserve"> </w:t>
      </w:r>
    </w:p>
    <w:p w14:paraId="64BDC68F" w14:textId="6E57A60B" w:rsidR="001A088D" w:rsidRPr="00925A90" w:rsidRDefault="00A45322" w:rsidP="001A088D">
      <w:r w:rsidRPr="00925A90">
        <w:t xml:space="preserve">Q: </w:t>
      </w:r>
      <w:r w:rsidR="001A088D" w:rsidRPr="00925A90">
        <w:t>Can we use a separate document and reference the questions by section, or should we answer the questions in the PDF document?</w:t>
      </w:r>
    </w:p>
    <w:p w14:paraId="4ACF63DD" w14:textId="0772C4B7" w:rsidR="00A45322" w:rsidRPr="00925A90" w:rsidRDefault="00A45322" w:rsidP="001A088D">
      <w:r w:rsidRPr="00925A90">
        <w:t xml:space="preserve">R: Either method is acceptable. Previous RFP Respondents have found it easier to format a separate document to ensure all supplemental and supporting information can be inserted. </w:t>
      </w:r>
    </w:p>
    <w:p w14:paraId="55EC8B50" w14:textId="77777777" w:rsidR="00A45322" w:rsidRPr="00925A90" w:rsidRDefault="001A088D" w:rsidP="001A088D">
      <w:r w:rsidRPr="00925A90">
        <w:t> </w:t>
      </w:r>
    </w:p>
    <w:p w14:paraId="42150935" w14:textId="77777777" w:rsidR="00C57C73" w:rsidRPr="00925A90" w:rsidRDefault="00A45322" w:rsidP="001A088D">
      <w:r w:rsidRPr="00925A90">
        <w:t xml:space="preserve">Q: </w:t>
      </w:r>
      <w:r w:rsidR="001A088D" w:rsidRPr="00925A90">
        <w:t>For the pricing proposal, do you want a comprehensive cost for each component (therapist license, facility fee, interface fee, etc., or do you want an actual quotation. If a quotation is needed we will need to know:</w:t>
      </w:r>
      <w:r w:rsidR="00F0471D" w:rsidRPr="00925A90">
        <w:t xml:space="preserve">  </w:t>
      </w:r>
    </w:p>
    <w:p w14:paraId="7B4618D4" w14:textId="50947311" w:rsidR="001A088D" w:rsidRPr="00925A90" w:rsidRDefault="00C57C73" w:rsidP="001A088D">
      <w:r w:rsidRPr="00925A90">
        <w:t>R: MUHC requests both</w:t>
      </w:r>
      <w:r w:rsidR="00BE6198" w:rsidRPr="00925A90">
        <w:t>. Detailed data is listed below:</w:t>
      </w:r>
    </w:p>
    <w:p w14:paraId="7D7FB810" w14:textId="77777777" w:rsidR="001F168E" w:rsidRPr="00925A90" w:rsidRDefault="00E552D0" w:rsidP="001F168E">
      <w:r w:rsidRPr="00925A90">
        <w:rPr>
          <w:rFonts w:eastAsia="Times New Roman"/>
          <w:noProof/>
          <w:color w:val="000000"/>
        </w:rPr>
        <w:drawing>
          <wp:inline distT="0" distB="0" distL="0" distR="0" wp14:anchorId="11D9B96C" wp14:editId="0797DAB1">
            <wp:extent cx="5276850" cy="2679700"/>
            <wp:effectExtent l="0" t="0" r="0" b="6350"/>
            <wp:docPr id="50498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0A275" w14:textId="77777777" w:rsidR="001F168E" w:rsidRPr="00925A90" w:rsidRDefault="001F168E" w:rsidP="001F168E"/>
    <w:p w14:paraId="677070B2" w14:textId="77777777" w:rsidR="001F168E" w:rsidRPr="00925A90" w:rsidRDefault="001F168E" w:rsidP="001F168E">
      <w:r w:rsidRPr="00925A90">
        <w:lastRenderedPageBreak/>
        <w:t xml:space="preserve">Q: </w:t>
      </w:r>
      <w:r w:rsidR="001A088D" w:rsidRPr="00925A90">
        <w:t>Number of facilities</w:t>
      </w:r>
      <w:r w:rsidRPr="00925A90">
        <w:t>?</w:t>
      </w:r>
    </w:p>
    <w:p w14:paraId="6AE70D98" w14:textId="77777777" w:rsidR="001F168E" w:rsidRPr="00925A90" w:rsidRDefault="001F168E" w:rsidP="001F168E">
      <w:r w:rsidRPr="00925A90">
        <w:t xml:space="preserve"> R: </w:t>
      </w:r>
      <w:r w:rsidR="003334FD" w:rsidRPr="00925A90">
        <w:t>17 Therapy Locations</w:t>
      </w:r>
    </w:p>
    <w:p w14:paraId="4E87B571" w14:textId="77777777" w:rsidR="001F168E" w:rsidRPr="00925A90" w:rsidRDefault="001F168E" w:rsidP="001F168E"/>
    <w:p w14:paraId="5C7AF9E8" w14:textId="77777777" w:rsidR="001F168E" w:rsidRPr="00925A90" w:rsidRDefault="001F168E" w:rsidP="001F168E">
      <w:r w:rsidRPr="00925A90">
        <w:t xml:space="preserve">Q: </w:t>
      </w:r>
      <w:r w:rsidR="001A088D" w:rsidRPr="00925A90">
        <w:t>What interfaces at each facility</w:t>
      </w:r>
      <w:r w:rsidRPr="00925A90">
        <w:t>?</w:t>
      </w:r>
    </w:p>
    <w:p w14:paraId="0BBB7572" w14:textId="0FC02C02" w:rsidR="001A088D" w:rsidRPr="00925A90" w:rsidRDefault="001F168E" w:rsidP="001A088D">
      <w:r w:rsidRPr="00925A90">
        <w:t>R</w:t>
      </w:r>
      <w:r w:rsidR="001C32AD" w:rsidRPr="00925A90">
        <w:t>: ADT</w:t>
      </w:r>
      <w:r w:rsidR="001A088D" w:rsidRPr="00925A90">
        <w:t>, Permanent Clinical Records, Billing.</w:t>
      </w:r>
    </w:p>
    <w:p w14:paraId="66C0DD2A" w14:textId="77777777" w:rsidR="008C1D09" w:rsidRPr="00925A90" w:rsidRDefault="008C1D09" w:rsidP="001A088D"/>
    <w:p w14:paraId="31954A6A" w14:textId="26C5227C" w:rsidR="001A088D" w:rsidRPr="00925A90" w:rsidRDefault="00A41960" w:rsidP="001A088D">
      <w:r w:rsidRPr="00925A90">
        <w:t>Q:</w:t>
      </w:r>
      <w:r w:rsidR="00BE6198" w:rsidRPr="00925A90">
        <w:t xml:space="preserve"> </w:t>
      </w:r>
      <w:r w:rsidR="001A088D" w:rsidRPr="00925A90">
        <w:t>Bidirectional Clinical Flow: Does MUHC require the full clinical note to be ingested as discrete data into Oracle Health, or is a PDF/Clinical Summary via HL7 MDM message sufficient?</w:t>
      </w:r>
    </w:p>
    <w:p w14:paraId="7520A88D" w14:textId="3C71675F" w:rsidR="00A41960" w:rsidRPr="00925A90" w:rsidRDefault="00A41960" w:rsidP="001A088D">
      <w:pPr>
        <w:rPr>
          <w:color w:val="FF0000"/>
        </w:rPr>
      </w:pPr>
      <w:r w:rsidRPr="00925A90">
        <w:t>R: PDF/Clinical Summary via HL7 MDM is sufficient</w:t>
      </w:r>
      <w:r w:rsidR="00E4503E" w:rsidRPr="00925A90">
        <w:t xml:space="preserve">. MUHC would be interested in understanding capabilities and experience with full clinical note </w:t>
      </w:r>
      <w:r w:rsidR="008C1D09" w:rsidRPr="00925A90">
        <w:t>integration but</w:t>
      </w:r>
      <w:r w:rsidR="00E4503E" w:rsidRPr="00925A90">
        <w:t xml:space="preserve"> not required for implantation. </w:t>
      </w:r>
    </w:p>
    <w:p w14:paraId="4754A098" w14:textId="4A160856" w:rsidR="001A088D" w:rsidRPr="00925A90" w:rsidRDefault="00E4503E" w:rsidP="001A088D">
      <w:pPr>
        <w:rPr>
          <w:color w:val="FF0000"/>
        </w:rPr>
      </w:pPr>
      <w:r w:rsidRPr="00925A90">
        <w:t xml:space="preserve">Q: </w:t>
      </w:r>
      <w:r w:rsidR="001A088D" w:rsidRPr="00925A90">
        <w:t>Single Sign-On (SSO): Is MUHC looking for SAML 2.0 integration for SSO, and is there a preference for the solution to be framed within the Oracle Health PowerChart 'MPages' view?</w:t>
      </w:r>
    </w:p>
    <w:p w14:paraId="6390A5E5" w14:textId="77777777" w:rsidR="00E4503E" w:rsidRPr="00925A90" w:rsidRDefault="00E4503E" w:rsidP="001A088D">
      <w:r w:rsidRPr="00925A90">
        <w:t>R: SSO integration with Millenium</w:t>
      </w:r>
    </w:p>
    <w:p w14:paraId="0D6499D3" w14:textId="4008CED4" w:rsidR="00FA79B3" w:rsidRPr="00925A90" w:rsidRDefault="00E4503E" w:rsidP="001A088D">
      <w:r w:rsidRPr="00925A90">
        <w:t xml:space="preserve">Q: </w:t>
      </w:r>
      <w:r w:rsidR="001A088D" w:rsidRPr="00925A90">
        <w:t>Hospital vs. Professional Billing: The RFP mentions 'Hospital-based outpatient billing</w:t>
      </w:r>
      <w:r w:rsidR="000A50C3" w:rsidRPr="00925A90">
        <w:t>,’</w:t>
      </w:r>
      <w:r w:rsidR="001A088D" w:rsidRPr="00925A90">
        <w:t xml:space="preserve"> will the platform only push charges to IDX/Athena for final claim generation?</w:t>
      </w:r>
    </w:p>
    <w:p w14:paraId="68D6416B" w14:textId="1667500D" w:rsidR="001A088D" w:rsidRPr="00925A90" w:rsidRDefault="00FA79B3" w:rsidP="001A088D">
      <w:r w:rsidRPr="00925A90">
        <w:t>R:</w:t>
      </w:r>
      <w:r w:rsidR="001A088D" w:rsidRPr="00925A90">
        <w:t xml:space="preserve"> </w:t>
      </w:r>
      <w:r w:rsidR="00237C91" w:rsidRPr="00925A90">
        <w:t>Ye</w:t>
      </w:r>
      <w:r w:rsidR="00060377" w:rsidRPr="00925A90">
        <w:t xml:space="preserve">s IDX/Athena is used for final claim generation and </w:t>
      </w:r>
      <w:r w:rsidR="00D122AD" w:rsidRPr="00925A90">
        <w:t xml:space="preserve">other charge appropriate details. </w:t>
      </w:r>
    </w:p>
    <w:p w14:paraId="7E98A16D" w14:textId="1121DAE4" w:rsidR="001A088D" w:rsidRPr="00925A90" w:rsidRDefault="00FA79B3" w:rsidP="001A088D">
      <w:pPr>
        <w:rPr>
          <w:color w:val="FF0000"/>
        </w:rPr>
      </w:pPr>
      <w:r w:rsidRPr="00925A90">
        <w:t xml:space="preserve">Q: </w:t>
      </w:r>
      <w:r w:rsidR="001A088D" w:rsidRPr="00925A90">
        <w:t xml:space="preserve">Authorization Ownership: </w:t>
      </w:r>
      <w:r w:rsidRPr="00925A90">
        <w:t>I</w:t>
      </w:r>
      <w:r w:rsidR="001A088D" w:rsidRPr="00925A90">
        <w:t>s the 'Authorization Management' expected to include an automated clearinghouse integration for electronic prior authorizations (ePA), or is it strictly a tracking and alerting tool for manual entry</w:t>
      </w:r>
      <w:r w:rsidR="000A50C3" w:rsidRPr="00925A90">
        <w:t xml:space="preserve">? </w:t>
      </w:r>
    </w:p>
    <w:p w14:paraId="7E2139B2" w14:textId="71D04229" w:rsidR="006E127A" w:rsidRPr="00925A90" w:rsidRDefault="006E127A" w:rsidP="001A088D">
      <w:r w:rsidRPr="00925A90">
        <w:t xml:space="preserve">R: </w:t>
      </w:r>
      <w:r w:rsidR="006E2BE7" w:rsidRPr="00925A90">
        <w:t xml:space="preserve">Automated clearinghouse integration for ePA is not required for implementation/go live. Respondents should </w:t>
      </w:r>
      <w:r w:rsidR="00F23439" w:rsidRPr="00925A90">
        <w:t xml:space="preserve">include any options for future opportunities for integration capabilities. </w:t>
      </w:r>
    </w:p>
    <w:p w14:paraId="4075C098" w14:textId="77777777" w:rsidR="001A088D" w:rsidRPr="00925A90" w:rsidRDefault="001A088D" w:rsidP="001A088D"/>
    <w:p w14:paraId="0A14E567" w14:textId="4621DE06" w:rsidR="001A088D" w:rsidRPr="00925A90" w:rsidRDefault="00F23439" w:rsidP="001A088D">
      <w:r w:rsidRPr="00925A90">
        <w:t xml:space="preserve">Q: </w:t>
      </w:r>
      <w:r w:rsidR="001A088D" w:rsidRPr="00925A90">
        <w:t xml:space="preserve">Exhibit C - RFP Security Related Criteria: What is the desired format for responses to this section? </w:t>
      </w:r>
    </w:p>
    <w:p w14:paraId="75E14DBF" w14:textId="7D17375D" w:rsidR="00AF31BF" w:rsidRPr="00925A90" w:rsidRDefault="00AF31BF" w:rsidP="001A088D">
      <w:r w:rsidRPr="00925A90">
        <w:t xml:space="preserve">R: Respondents </w:t>
      </w:r>
      <w:r w:rsidR="005C3B4F" w:rsidRPr="00925A90">
        <w:t xml:space="preserve">can provide the information within the table as to whether you can meet and/or exceed requirements. Additional supplement information can be inserted </w:t>
      </w:r>
      <w:r w:rsidR="00293C1B" w:rsidRPr="00925A90">
        <w:t>into</w:t>
      </w:r>
      <w:r w:rsidR="00B746C8" w:rsidRPr="00925A90">
        <w:t xml:space="preserve"> </w:t>
      </w:r>
      <w:r w:rsidR="00B746C8" w:rsidRPr="00925A90">
        <w:lastRenderedPageBreak/>
        <w:t xml:space="preserve">support. Respondents should indicate not applicable on any items that do not apply to their solution and why. </w:t>
      </w:r>
    </w:p>
    <w:p w14:paraId="133587FB" w14:textId="77777777" w:rsidR="00F23439" w:rsidRPr="00925A90" w:rsidRDefault="00F23439" w:rsidP="001A088D"/>
    <w:p w14:paraId="5EB16055" w14:textId="1DDAE81C" w:rsidR="001A088D" w:rsidRPr="00925A90" w:rsidRDefault="006D3EA1" w:rsidP="001A088D">
      <w:r w:rsidRPr="00925A90">
        <w:t xml:space="preserve">Q: </w:t>
      </w:r>
      <w:r w:rsidR="001A088D" w:rsidRPr="00925A90">
        <w:t xml:space="preserve">De-identification: Does MUHC allow for the use of aggregated, de-identified data for the purposes of benchmarking across other health system clients? </w:t>
      </w:r>
    </w:p>
    <w:p w14:paraId="1B2F4B4B" w14:textId="0EC6C53C" w:rsidR="003A236F" w:rsidRPr="00925A90" w:rsidRDefault="003A236F" w:rsidP="001A088D">
      <w:pPr>
        <w:rPr>
          <w:color w:val="FF0000"/>
        </w:rPr>
      </w:pPr>
      <w:r w:rsidRPr="00925A90">
        <w:t xml:space="preserve">R: </w:t>
      </w:r>
      <w:r w:rsidR="00B5018C" w:rsidRPr="00925A90">
        <w:t xml:space="preserve">All requests for use of de-identified data for the purposes of benchmarking </w:t>
      </w:r>
      <w:r w:rsidR="00CA67A3" w:rsidRPr="00925A90">
        <w:t xml:space="preserve">across other health system clients will need to be reviewed by our Data Governance Committee. Each use case is evaluated and approved or denied by the committee. </w:t>
      </w:r>
    </w:p>
    <w:p w14:paraId="55C97FE5" w14:textId="77777777" w:rsidR="001A088D" w:rsidRPr="00925A90" w:rsidRDefault="001A088D" w:rsidP="001A088D"/>
    <w:p w14:paraId="5DA0D703" w14:textId="3825A866" w:rsidR="001A088D" w:rsidRPr="00925A90" w:rsidRDefault="00AF34D5" w:rsidP="001A088D">
      <w:pPr>
        <w:rPr>
          <w:color w:val="000000" w:themeColor="text1"/>
        </w:rPr>
      </w:pPr>
      <w:r w:rsidRPr="00925A90">
        <w:t xml:space="preserve">Q: </w:t>
      </w:r>
      <w:r w:rsidR="001A088D" w:rsidRPr="00925A90">
        <w:t xml:space="preserve">Clarification on number of sites: MUHC references </w:t>
      </w:r>
      <w:r w:rsidR="00990C75" w:rsidRPr="00925A90">
        <w:t>sixty</w:t>
      </w:r>
      <w:r w:rsidR="001A088D" w:rsidRPr="00925A90">
        <w:t xml:space="preserve"> outpatient clinics, but in our original notes from prior conversations, we indicate number of sites closer to </w:t>
      </w:r>
      <w:r w:rsidR="00990C75" w:rsidRPr="00925A90">
        <w:t>twenty</w:t>
      </w:r>
      <w:r w:rsidR="001A088D" w:rsidRPr="00925A90">
        <w:t xml:space="preserve">? Do ALL </w:t>
      </w:r>
      <w:r w:rsidR="001A088D" w:rsidRPr="00925A90">
        <w:rPr>
          <w:color w:val="000000" w:themeColor="text1"/>
        </w:rPr>
        <w:t xml:space="preserve">60 sites provide outpatient rehabilitation services? </w:t>
      </w:r>
    </w:p>
    <w:p w14:paraId="03B05A74" w14:textId="233B837F" w:rsidR="00AF34D5" w:rsidRPr="00925A90" w:rsidRDefault="00AF34D5" w:rsidP="001A088D">
      <w:pPr>
        <w:rPr>
          <w:color w:val="000000" w:themeColor="text1"/>
        </w:rPr>
      </w:pPr>
      <w:r w:rsidRPr="00925A90">
        <w:rPr>
          <w:color w:val="000000" w:themeColor="text1"/>
        </w:rPr>
        <w:t xml:space="preserve">R: In the RFP we list 60+ outpatient clinics </w:t>
      </w:r>
      <w:r w:rsidR="00A7626F" w:rsidRPr="00925A90">
        <w:rPr>
          <w:color w:val="000000" w:themeColor="text1"/>
        </w:rPr>
        <w:t xml:space="preserve">in our organizational background. Outpatient therapy locations </w:t>
      </w:r>
      <w:r w:rsidR="00293C1B" w:rsidRPr="00925A90">
        <w:rPr>
          <w:color w:val="000000" w:themeColor="text1"/>
        </w:rPr>
        <w:t>are</w:t>
      </w:r>
      <w:r w:rsidR="00A7626F" w:rsidRPr="00925A90">
        <w:rPr>
          <w:color w:val="000000" w:themeColor="text1"/>
        </w:rPr>
        <w:t xml:space="preserve"> </w:t>
      </w:r>
      <w:r w:rsidR="00990C75" w:rsidRPr="00925A90">
        <w:rPr>
          <w:color w:val="000000" w:themeColor="text1"/>
        </w:rPr>
        <w:t>seventeen</w:t>
      </w:r>
      <w:r w:rsidR="00A7626F" w:rsidRPr="00925A90">
        <w:rPr>
          <w:color w:val="000000" w:themeColor="text1"/>
        </w:rPr>
        <w:t xml:space="preserve">. The solution would support those locations. </w:t>
      </w:r>
    </w:p>
    <w:p w14:paraId="7894DD94" w14:textId="77777777" w:rsidR="00FF646A" w:rsidRPr="00925A90" w:rsidRDefault="00FF646A" w:rsidP="001A088D">
      <w:pPr>
        <w:rPr>
          <w:color w:val="000000" w:themeColor="text1"/>
        </w:rPr>
      </w:pPr>
    </w:p>
    <w:p w14:paraId="3D0BEBD7" w14:textId="33687644" w:rsidR="003D63D4" w:rsidRPr="00925A90" w:rsidRDefault="003D63D4" w:rsidP="001A088D">
      <w:r w:rsidRPr="00925A90">
        <w:t xml:space="preserve">Q: </w:t>
      </w:r>
      <w:r w:rsidR="001A088D" w:rsidRPr="00925A90">
        <w:t xml:space="preserve">Licensed Providers: Can MUHC confirm the number of licensed providers necessary to address the outpatient rehabilitation </w:t>
      </w:r>
      <w:r w:rsidR="00293C1B" w:rsidRPr="00925A90">
        <w:t>services?</w:t>
      </w:r>
    </w:p>
    <w:p w14:paraId="46BC95C7" w14:textId="12713350" w:rsidR="001A088D" w:rsidRPr="00925A90" w:rsidRDefault="003D63D4" w:rsidP="001A088D">
      <w:r w:rsidRPr="00925A90">
        <w:t>R</w:t>
      </w:r>
      <w:r w:rsidR="00293C1B" w:rsidRPr="00925A90">
        <w:t>: Refer</w:t>
      </w:r>
      <w:r w:rsidR="008703C6" w:rsidRPr="00925A90">
        <w:t xml:space="preserve"> to data above</w:t>
      </w:r>
    </w:p>
    <w:p w14:paraId="25086CFC" w14:textId="77777777" w:rsidR="00FF646A" w:rsidRPr="00925A90" w:rsidRDefault="00FF646A" w:rsidP="001A088D">
      <w:pPr>
        <w:rPr>
          <w:color w:val="FF0000"/>
        </w:rPr>
      </w:pPr>
    </w:p>
    <w:p w14:paraId="6A657F12" w14:textId="33FA852A" w:rsidR="003D63D4" w:rsidRPr="00925A90" w:rsidRDefault="00293C1B" w:rsidP="001A088D">
      <w:r w:rsidRPr="00925A90">
        <w:t>Q: Phased</w:t>
      </w:r>
      <w:r w:rsidR="001A088D" w:rsidRPr="00925A90">
        <w:t xml:space="preserve"> Rollout: Does MUHC have a preferred rollout strategy (e.g., a single pilot site followed by a 'Big Bang' for the remaining </w:t>
      </w:r>
      <w:r w:rsidR="00990C75" w:rsidRPr="00925A90">
        <w:t>sixty</w:t>
      </w:r>
      <w:r w:rsidR="001A088D" w:rsidRPr="00925A90">
        <w:t xml:space="preserve"> clinics), or should the implementation timeline assume a concurrent launch for all sites?</w:t>
      </w:r>
    </w:p>
    <w:p w14:paraId="4BCAD18D" w14:textId="2C1548D2" w:rsidR="001A088D" w:rsidRPr="00925A90" w:rsidRDefault="003D63D4" w:rsidP="001A088D">
      <w:r w:rsidRPr="00925A90">
        <w:t xml:space="preserve">R: </w:t>
      </w:r>
      <w:r w:rsidR="008D7F6A" w:rsidRPr="00925A90">
        <w:t xml:space="preserve">Concurrent for </w:t>
      </w:r>
      <w:r w:rsidR="00990C75" w:rsidRPr="00925A90">
        <w:t>seventeen</w:t>
      </w:r>
      <w:r w:rsidR="008D7F6A" w:rsidRPr="00925A90">
        <w:t xml:space="preserve"> sites</w:t>
      </w:r>
    </w:p>
    <w:p w14:paraId="59CA7154" w14:textId="77777777" w:rsidR="00FF646A" w:rsidRPr="00925A90" w:rsidRDefault="00FF646A" w:rsidP="001A088D">
      <w:pPr>
        <w:rPr>
          <w:color w:val="FF0000"/>
        </w:rPr>
      </w:pPr>
    </w:p>
    <w:p w14:paraId="70CF326F" w14:textId="4D80E144" w:rsidR="003D63D4" w:rsidRPr="00925A90" w:rsidRDefault="00293C1B" w:rsidP="001A088D">
      <w:r w:rsidRPr="00925A90">
        <w:t>Q: Data</w:t>
      </w:r>
      <w:r w:rsidR="001A088D" w:rsidRPr="00925A90">
        <w:t xml:space="preserve"> Migration: How many years of historical patient documentation and active authorizations does MUHC intend to migrate from the legacy system into the new platform?</w:t>
      </w:r>
    </w:p>
    <w:p w14:paraId="3ED5FB65" w14:textId="17E1E4EC" w:rsidR="001A088D" w:rsidRPr="00925A90" w:rsidRDefault="003D63D4" w:rsidP="001A088D">
      <w:pPr>
        <w:rPr>
          <w:color w:val="000000" w:themeColor="text1"/>
        </w:rPr>
      </w:pPr>
      <w:r w:rsidRPr="00925A90">
        <w:rPr>
          <w:color w:val="000000" w:themeColor="text1"/>
        </w:rPr>
        <w:t>R:</w:t>
      </w:r>
      <w:r w:rsidR="001A088D" w:rsidRPr="00925A90">
        <w:rPr>
          <w:color w:val="000000" w:themeColor="text1"/>
        </w:rPr>
        <w:t xml:space="preserve"> </w:t>
      </w:r>
      <w:r w:rsidR="00705F7D" w:rsidRPr="00925A90">
        <w:rPr>
          <w:color w:val="000000" w:themeColor="text1"/>
        </w:rPr>
        <w:t xml:space="preserve">No </w:t>
      </w:r>
      <w:r w:rsidR="00990C75" w:rsidRPr="00925A90">
        <w:rPr>
          <w:color w:val="000000" w:themeColor="text1"/>
        </w:rPr>
        <w:t>legacy unless</w:t>
      </w:r>
      <w:r w:rsidR="00705F7D" w:rsidRPr="00925A90">
        <w:rPr>
          <w:color w:val="000000" w:themeColor="text1"/>
        </w:rPr>
        <w:t xml:space="preserve"> there is a method of moving in-service patient</w:t>
      </w:r>
      <w:r w:rsidR="008571CA" w:rsidRPr="00925A90">
        <w:rPr>
          <w:color w:val="000000" w:themeColor="text1"/>
        </w:rPr>
        <w:t xml:space="preserve"> data</w:t>
      </w:r>
      <w:r w:rsidR="00705F7D" w:rsidRPr="00925A90">
        <w:rPr>
          <w:color w:val="000000" w:themeColor="text1"/>
        </w:rPr>
        <w:t>. Respondents should provide methodology for migration of data</w:t>
      </w:r>
      <w:r w:rsidR="00072BE4" w:rsidRPr="00925A90">
        <w:rPr>
          <w:color w:val="000000" w:themeColor="text1"/>
        </w:rPr>
        <w:t xml:space="preserve"> to new platform</w:t>
      </w:r>
      <w:r w:rsidR="00E16288" w:rsidRPr="00925A90">
        <w:rPr>
          <w:color w:val="000000" w:themeColor="text1"/>
        </w:rPr>
        <w:t xml:space="preserve"> and options to avoid manual entry </w:t>
      </w:r>
      <w:r w:rsidR="00DD74FF" w:rsidRPr="00925A90">
        <w:rPr>
          <w:color w:val="000000" w:themeColor="text1"/>
        </w:rPr>
        <w:t xml:space="preserve">during implementation. </w:t>
      </w:r>
    </w:p>
    <w:p w14:paraId="05C0183B" w14:textId="28A342DA" w:rsidR="001A088D" w:rsidRPr="00925A90" w:rsidRDefault="008571CA" w:rsidP="001A088D">
      <w:r w:rsidRPr="00925A90">
        <w:lastRenderedPageBreak/>
        <w:t xml:space="preserve">Q: </w:t>
      </w:r>
      <w:r w:rsidR="001A088D" w:rsidRPr="00925A90">
        <w:t xml:space="preserve">The RFP has a duplicate section on AI Capabilities (Pages 23 and 24). This may be a clerical error in the document that needs noting. </w:t>
      </w:r>
    </w:p>
    <w:p w14:paraId="67E588F8" w14:textId="6A5C9099" w:rsidR="008571CA" w:rsidRPr="00925A90" w:rsidRDefault="008571CA" w:rsidP="001A088D">
      <w:r w:rsidRPr="00925A90">
        <w:t>R: That is a clerical error.</w:t>
      </w:r>
    </w:p>
    <w:p w14:paraId="1586FF15" w14:textId="77777777" w:rsidR="00977C82" w:rsidRPr="00925A90" w:rsidRDefault="00977C82" w:rsidP="001A088D"/>
    <w:p w14:paraId="356E40F6" w14:textId="1F9B691B" w:rsidR="001A088D" w:rsidRPr="00925A90" w:rsidRDefault="008571CA" w:rsidP="001A088D">
      <w:r w:rsidRPr="00925A90">
        <w:t xml:space="preserve">Q: </w:t>
      </w:r>
      <w:r w:rsidR="001A088D" w:rsidRPr="00925A90">
        <w:t xml:space="preserve">Price Increases: Section 4 asks for a maximum </w:t>
      </w:r>
      <w:r w:rsidR="00F103FD" w:rsidRPr="00925A90">
        <w:t>percentage</w:t>
      </w:r>
      <w:r w:rsidR="001A088D" w:rsidRPr="00925A90">
        <w:t xml:space="preserve"> increase for renewal periods. Is there a specific Consumer Price Index (CPI) cap MUHC expects respondents to adhere to</w:t>
      </w:r>
      <w:r w:rsidRPr="00925A90">
        <w:t xml:space="preserve">. </w:t>
      </w:r>
    </w:p>
    <w:p w14:paraId="5FAE44A7" w14:textId="03DE6A17" w:rsidR="008571CA" w:rsidRPr="00925A90" w:rsidRDefault="008571CA" w:rsidP="001A088D">
      <w:r w:rsidRPr="00925A90">
        <w:t xml:space="preserve">R: No, MUHC preference is that respondents hold their pricing for the term of the agreement. Information is requested so that </w:t>
      </w:r>
      <w:r w:rsidR="0082061B" w:rsidRPr="00925A90">
        <w:t xml:space="preserve">consideration can be given for total cost of ownership can be established including price increases. </w:t>
      </w:r>
    </w:p>
    <w:p w14:paraId="67FED74B" w14:textId="77777777" w:rsidR="001A088D" w:rsidRPr="00925A90" w:rsidRDefault="001A088D" w:rsidP="001A088D"/>
    <w:p w14:paraId="7E820CEC" w14:textId="0335E06C" w:rsidR="001A088D" w:rsidRPr="00925A90" w:rsidRDefault="0082061B" w:rsidP="001A088D">
      <w:r w:rsidRPr="00925A90">
        <w:t xml:space="preserve">Q: </w:t>
      </w:r>
      <w:r w:rsidR="001A088D" w:rsidRPr="00925A90">
        <w:t xml:space="preserve">On page 21 of the RFP, Exhibit A is referenced in relation to security, privacy, and compliance. However, Attachment A appears to relate to SDVE participation, and Exhibit C addresses information security. Can you please confirm whether there is a separate Exhibit A related to IT/security that we may be missing? </w:t>
      </w:r>
    </w:p>
    <w:p w14:paraId="71B95E43" w14:textId="42DFC487" w:rsidR="001A088D" w:rsidRPr="00925A90" w:rsidRDefault="009E6ECA" w:rsidP="001A088D">
      <w:r w:rsidRPr="00925A90">
        <w:t xml:space="preserve">R: This is a clerical </w:t>
      </w:r>
      <w:r w:rsidR="00292C61" w:rsidRPr="00925A90">
        <w:t>error. Exhibit C should have been labeled Exhibit A</w:t>
      </w:r>
    </w:p>
    <w:p w14:paraId="50B25639" w14:textId="4C87FA72" w:rsidR="00292C61" w:rsidRPr="00925A90" w:rsidRDefault="00292C61" w:rsidP="001A088D"/>
    <w:p w14:paraId="6F623183" w14:textId="733FC82B" w:rsidR="001A088D" w:rsidRPr="00925A90" w:rsidRDefault="00292C61" w:rsidP="001A088D">
      <w:r w:rsidRPr="00925A90">
        <w:t xml:space="preserve">Q: </w:t>
      </w:r>
      <w:r w:rsidR="001A088D" w:rsidRPr="00925A90">
        <w:t xml:space="preserve">Can you provide additional details regarding Oracle Health’s access controls and governance policies? </w:t>
      </w:r>
    </w:p>
    <w:p w14:paraId="1C071022" w14:textId="34D96DCE" w:rsidR="00292C61" w:rsidRPr="00925A90" w:rsidRDefault="00292C61" w:rsidP="001A088D">
      <w:pPr>
        <w:rPr>
          <w:color w:val="FF0000"/>
        </w:rPr>
      </w:pPr>
      <w:r w:rsidRPr="00925A90">
        <w:t>R: Not for RFP purposes.</w:t>
      </w:r>
    </w:p>
    <w:p w14:paraId="2512747D" w14:textId="77777777" w:rsidR="001A088D" w:rsidRPr="00925A90" w:rsidRDefault="001A088D" w:rsidP="001A088D"/>
    <w:p w14:paraId="1DE6C785" w14:textId="43926E51" w:rsidR="00292C61" w:rsidRPr="00925A90" w:rsidRDefault="00F103FD" w:rsidP="001A088D">
      <w:r w:rsidRPr="00925A90">
        <w:t>Q: Can</w:t>
      </w:r>
      <w:r w:rsidR="001A088D" w:rsidRPr="00925A90">
        <w:t xml:space="preserve"> you clarify what is meant by “customizable documentation with governance controls”? Specifically, are you seeking customization beyond the standard configurable templates</w:t>
      </w:r>
      <w:r w:rsidR="00990C75" w:rsidRPr="00925A90">
        <w:t xml:space="preserve">? </w:t>
      </w:r>
    </w:p>
    <w:p w14:paraId="345736DE" w14:textId="32360CF9" w:rsidR="001A088D" w:rsidRPr="00925A90" w:rsidRDefault="00F103FD" w:rsidP="001A088D">
      <w:pPr>
        <w:rPr>
          <w:color w:val="FF0000"/>
        </w:rPr>
      </w:pPr>
      <w:r w:rsidRPr="00925A90">
        <w:t>R: Yes</w:t>
      </w:r>
      <w:r w:rsidR="00634B7E" w:rsidRPr="00925A90">
        <w:t>, we would like the option to customize</w:t>
      </w:r>
      <w:r w:rsidR="00AD1AA2" w:rsidRPr="00925A90">
        <w:t xml:space="preserve"> if standard configurable templates are not sufficient. </w:t>
      </w:r>
    </w:p>
    <w:p w14:paraId="6092B855" w14:textId="77777777" w:rsidR="00292C61" w:rsidRPr="00925A90" w:rsidRDefault="00292C61" w:rsidP="001A088D"/>
    <w:p w14:paraId="6AAB18B6" w14:textId="4B624F3D" w:rsidR="001A088D" w:rsidRPr="00925A90" w:rsidRDefault="00292C61" w:rsidP="001A088D">
      <w:r w:rsidRPr="00925A90">
        <w:t xml:space="preserve">Q: </w:t>
      </w:r>
      <w:r w:rsidR="001A088D" w:rsidRPr="00925A90">
        <w:t xml:space="preserve">Can you provide more information on the systems or data that need to interface with Athena and Oracle Health? </w:t>
      </w:r>
    </w:p>
    <w:p w14:paraId="479E5FBD" w14:textId="08118CA4" w:rsidR="00167E3A" w:rsidRPr="00925A90" w:rsidRDefault="00167E3A" w:rsidP="001A088D">
      <w:r w:rsidRPr="00925A90">
        <w:lastRenderedPageBreak/>
        <w:t xml:space="preserve">R: Clinical and Financial information would be data that is interfaced between systems standard </w:t>
      </w:r>
      <w:r w:rsidR="00CC22AE" w:rsidRPr="00925A90">
        <w:t xml:space="preserve">for projects of this nature. Details of data requirements </w:t>
      </w:r>
      <w:r w:rsidR="00990C75" w:rsidRPr="00925A90">
        <w:t>will</w:t>
      </w:r>
      <w:r w:rsidR="00CC22AE" w:rsidRPr="00925A90">
        <w:t xml:space="preserve"> be discussed in detail </w:t>
      </w:r>
      <w:r w:rsidR="00F103FD" w:rsidRPr="00925A90">
        <w:t>with the awarded</w:t>
      </w:r>
      <w:r w:rsidR="00CC22AE" w:rsidRPr="00925A90">
        <w:t xml:space="preserve"> vendor during design, build and implementation. Respondents should highlight any limitations in their ability to interface specific data. </w:t>
      </w:r>
    </w:p>
    <w:p w14:paraId="61BC46FB" w14:textId="77777777" w:rsidR="00CC22AE" w:rsidRPr="00925A90" w:rsidRDefault="00CC22AE" w:rsidP="001A088D">
      <w:pPr>
        <w:rPr>
          <w:color w:val="FF0000"/>
        </w:rPr>
      </w:pPr>
    </w:p>
    <w:p w14:paraId="62133C74" w14:textId="77777777" w:rsidR="00CC22AE" w:rsidRPr="00925A90" w:rsidRDefault="00CC22AE" w:rsidP="001A088D">
      <w:r w:rsidRPr="00925A90">
        <w:t xml:space="preserve">Q: </w:t>
      </w:r>
      <w:r w:rsidR="001A088D" w:rsidRPr="00925A90">
        <w:t xml:space="preserve">Can you please provide additional detail regarding your objectives for documentation return and read-only access within Oracle Health? Specifically, what outcomes or use cases are you seeking to support through this access? </w:t>
      </w:r>
    </w:p>
    <w:p w14:paraId="40DFFF5E" w14:textId="29D24AE4" w:rsidR="001A088D" w:rsidRPr="00925A90" w:rsidRDefault="00CC22AE" w:rsidP="001A088D">
      <w:r w:rsidRPr="00925A90">
        <w:t xml:space="preserve">R: </w:t>
      </w:r>
      <w:r w:rsidR="000E7B0C" w:rsidRPr="00925A90">
        <w:t xml:space="preserve">This is current functionality and provides </w:t>
      </w:r>
      <w:r w:rsidR="00A12E98" w:rsidRPr="00925A90">
        <w:t xml:space="preserve">transparency and continuity of care. EMR is the source for clinical care and documentation. </w:t>
      </w:r>
    </w:p>
    <w:p w14:paraId="057D8FBB" w14:textId="11DC47E4" w:rsidR="001A088D" w:rsidRPr="00925A90" w:rsidRDefault="001A088D" w:rsidP="001A088D"/>
    <w:p w14:paraId="34CF8F73" w14:textId="77777777" w:rsidR="00CC22AE" w:rsidRPr="00925A90" w:rsidRDefault="00CC22AE" w:rsidP="001A088D">
      <w:r w:rsidRPr="00925A90">
        <w:t xml:space="preserve">Q: </w:t>
      </w:r>
      <w:r w:rsidR="001A088D" w:rsidRPr="00925A90">
        <w:t xml:space="preserve">Can you provide details regarding your AI governance framework, including policies, oversight, and controls in place? </w:t>
      </w:r>
    </w:p>
    <w:p w14:paraId="3CFFA61E" w14:textId="406D333E" w:rsidR="001A088D" w:rsidRPr="00925A90" w:rsidRDefault="00CC22AE" w:rsidP="001A088D">
      <w:pPr>
        <w:rPr>
          <w:color w:val="FF0000"/>
        </w:rPr>
      </w:pPr>
      <w:r w:rsidRPr="00925A90">
        <w:t xml:space="preserve">R: </w:t>
      </w:r>
      <w:r w:rsidR="00776B8F" w:rsidRPr="00925A90">
        <w:t xml:space="preserve">We have a governance committee that evaluates all AI tools. </w:t>
      </w:r>
      <w:r w:rsidR="00226A6D" w:rsidRPr="00925A90">
        <w:t xml:space="preserve">Policies, </w:t>
      </w:r>
      <w:r w:rsidR="00990C75" w:rsidRPr="00925A90">
        <w:t>oversight,</w:t>
      </w:r>
      <w:r w:rsidR="00226A6D" w:rsidRPr="00925A90">
        <w:t xml:space="preserve"> and control </w:t>
      </w:r>
      <w:r w:rsidR="00F103FD" w:rsidRPr="00925A90">
        <w:t>are</w:t>
      </w:r>
      <w:r w:rsidR="00226A6D" w:rsidRPr="00925A90">
        <w:t xml:space="preserve"> managed internally on a solution-by-solution basis. Additional detail could be shared with awarded vendor. </w:t>
      </w:r>
    </w:p>
    <w:p w14:paraId="25A564BD" w14:textId="77777777" w:rsidR="00226A6D" w:rsidRPr="00925A90" w:rsidRDefault="00226A6D" w:rsidP="001A088D"/>
    <w:p w14:paraId="5C767AFA" w14:textId="77777777" w:rsidR="008F06D7" w:rsidRPr="00925A90" w:rsidRDefault="00226A6D" w:rsidP="001A088D">
      <w:r w:rsidRPr="00925A90">
        <w:t xml:space="preserve">Q: </w:t>
      </w:r>
      <w:r w:rsidR="001A088D" w:rsidRPr="00925A90">
        <w:t>Can you provide additional details regarding Oracle Health’s security measures, access controls, and audit requirements?</w:t>
      </w:r>
    </w:p>
    <w:p w14:paraId="3847A46D" w14:textId="5B67C1DD" w:rsidR="001A088D" w:rsidRPr="00925A90" w:rsidRDefault="008F06D7" w:rsidP="001A088D">
      <w:pPr>
        <w:rPr>
          <w:color w:val="FF0000"/>
        </w:rPr>
      </w:pPr>
      <w:r w:rsidRPr="00925A90">
        <w:t xml:space="preserve">R: </w:t>
      </w:r>
      <w:r w:rsidR="004177D9" w:rsidRPr="00925A90">
        <w:t>Vendors need to be able to provide an audit log</w:t>
      </w:r>
      <w:r w:rsidRPr="00925A90">
        <w:t xml:space="preserve"> of access and use. </w:t>
      </w:r>
    </w:p>
    <w:p w14:paraId="437FE628" w14:textId="77777777" w:rsidR="008F06D7" w:rsidRPr="00925A90" w:rsidRDefault="008F06D7" w:rsidP="001A088D"/>
    <w:p w14:paraId="2D546371" w14:textId="661CD9DB" w:rsidR="001A088D" w:rsidRPr="00925A90" w:rsidRDefault="008F06D7" w:rsidP="001A088D">
      <w:r w:rsidRPr="00925A90">
        <w:t xml:space="preserve">Q: </w:t>
      </w:r>
      <w:r w:rsidR="001A088D" w:rsidRPr="00925A90">
        <w:t xml:space="preserve">Is there a designated form required for submitting pricing, or should all relevant information simply be included in the quote? </w:t>
      </w:r>
    </w:p>
    <w:p w14:paraId="5E990D30" w14:textId="1AAE3725" w:rsidR="00BC2390" w:rsidRPr="00925A90" w:rsidRDefault="00BC2390" w:rsidP="001A088D">
      <w:r w:rsidRPr="00925A90">
        <w:t xml:space="preserve">R: No designated form. Respondents should provide all relevant information including implementation fees, subscription fees, ala carte items, etc. </w:t>
      </w:r>
    </w:p>
    <w:p w14:paraId="1977C403" w14:textId="77777777" w:rsidR="001A088D" w:rsidRPr="00925A90" w:rsidRDefault="001A088D" w:rsidP="001A088D"/>
    <w:p w14:paraId="71BF5634" w14:textId="34A5F821" w:rsidR="001A088D" w:rsidRPr="00925A90" w:rsidRDefault="00487570" w:rsidP="001A088D">
      <w:r w:rsidRPr="00925A90">
        <w:t xml:space="preserve">Q: </w:t>
      </w:r>
      <w:r w:rsidR="001A088D" w:rsidRPr="00925A90">
        <w:t xml:space="preserve">Would a SOC 2 Type 1 report accompanied by a bridge letter be acceptable in lieu of a SOC 2 Type 2, which is scheduled for completion by Q3 2026? If so, would a HECVAT still be required as a supplemental document, or does the SOC 2 Type 1 with bridge letter fully satisfy this requirement? </w:t>
      </w:r>
    </w:p>
    <w:p w14:paraId="798C4070" w14:textId="223B6B4B" w:rsidR="00487570" w:rsidRPr="00925A90" w:rsidRDefault="00487570" w:rsidP="001A088D">
      <w:r w:rsidRPr="00925A90">
        <w:t xml:space="preserve">R: </w:t>
      </w:r>
      <w:r w:rsidR="003E7760" w:rsidRPr="00925A90">
        <w:t xml:space="preserve">Information Security would need to review to advise during response review. </w:t>
      </w:r>
    </w:p>
    <w:p w14:paraId="7F1AF638" w14:textId="77777777" w:rsidR="00622F9A" w:rsidRPr="00925A90" w:rsidRDefault="00622F9A" w:rsidP="001A088D"/>
    <w:p w14:paraId="545AF922" w14:textId="1E31FF47" w:rsidR="001A088D" w:rsidRPr="00925A90" w:rsidRDefault="003E7760" w:rsidP="001A088D">
      <w:r w:rsidRPr="00925A90">
        <w:t xml:space="preserve">Q: </w:t>
      </w:r>
      <w:r w:rsidR="001A088D" w:rsidRPr="00925A90">
        <w:t xml:space="preserve">Can you provide more information on MUHC's Mobile Device Management Solution? </w:t>
      </w:r>
    </w:p>
    <w:p w14:paraId="2747BDB0" w14:textId="03907FDF" w:rsidR="00F6708C" w:rsidRPr="00925A90" w:rsidRDefault="00F6708C" w:rsidP="001A088D">
      <w:pPr>
        <w:rPr>
          <w:highlight w:val="cyan"/>
        </w:rPr>
      </w:pPr>
      <w:r w:rsidRPr="00925A90">
        <w:t xml:space="preserve">R: Please refer to UM System policy/requirements at </w:t>
      </w:r>
      <w:hyperlink r:id="rId7" w:history="1">
        <w:r w:rsidRPr="00925A90">
          <w:rPr>
            <w:rStyle w:val="Hyperlink"/>
          </w:rPr>
          <w:t>https://www.umsystem.edu/ums/is/infosec/sections-mobile</w:t>
        </w:r>
      </w:hyperlink>
      <w:r w:rsidRPr="00925A90">
        <w:t xml:space="preserve"> </w:t>
      </w:r>
    </w:p>
    <w:p w14:paraId="056F6994" w14:textId="77777777" w:rsidR="00622F9A" w:rsidRPr="00925A90" w:rsidRDefault="00622F9A" w:rsidP="001A088D"/>
    <w:p w14:paraId="3F7023AF" w14:textId="0EF24E02" w:rsidR="00894685" w:rsidRPr="00925A90" w:rsidRDefault="00977C82" w:rsidP="001A088D">
      <w:r w:rsidRPr="00925A90">
        <w:t xml:space="preserve">Q: </w:t>
      </w:r>
      <w:r w:rsidR="001A088D" w:rsidRPr="00925A90">
        <w:t xml:space="preserve">Can you provide specific information regarding the integrations to MUHC EMR (HL7, FHIR, API, </w:t>
      </w:r>
      <w:r w:rsidR="004222BB" w:rsidRPr="00925A90">
        <w:t>etc.</w:t>
      </w:r>
      <w:r w:rsidR="001A088D" w:rsidRPr="00925A90">
        <w:t xml:space="preserve">)? </w:t>
      </w:r>
    </w:p>
    <w:p w14:paraId="66CD03E3" w14:textId="68BBF3AF" w:rsidR="001A088D" w:rsidRPr="00925A90" w:rsidRDefault="00894685" w:rsidP="001A088D">
      <w:pPr>
        <w:rPr>
          <w:color w:val="000000" w:themeColor="text1"/>
        </w:rPr>
      </w:pPr>
      <w:r w:rsidRPr="00925A90">
        <w:rPr>
          <w:color w:val="000000" w:themeColor="text1"/>
        </w:rPr>
        <w:t xml:space="preserve">R: </w:t>
      </w:r>
      <w:r w:rsidR="005B0B3F" w:rsidRPr="00925A90">
        <w:rPr>
          <w:color w:val="000000" w:themeColor="text1"/>
        </w:rPr>
        <w:t xml:space="preserve">All of these are appropriate integrations. </w:t>
      </w:r>
      <w:r w:rsidR="004E36E6" w:rsidRPr="00925A90">
        <w:rPr>
          <w:color w:val="000000" w:themeColor="text1"/>
        </w:rPr>
        <w:t>Current state is HL7</w:t>
      </w:r>
    </w:p>
    <w:p w14:paraId="0BAEF1E2" w14:textId="77777777" w:rsidR="00965B22" w:rsidRPr="00925A90" w:rsidRDefault="00965B22" w:rsidP="001A088D">
      <w:pPr>
        <w:rPr>
          <w:color w:val="000000" w:themeColor="text1"/>
        </w:rPr>
      </w:pPr>
    </w:p>
    <w:p w14:paraId="2D23E36E" w14:textId="6875D8D6" w:rsidR="001A088D" w:rsidRPr="00925A90" w:rsidRDefault="00894685" w:rsidP="001A088D">
      <w:r w:rsidRPr="00925A90">
        <w:t xml:space="preserve">Q: </w:t>
      </w:r>
      <w:r w:rsidR="001A088D" w:rsidRPr="00925A90">
        <w:t xml:space="preserve">Does MUHC intend to utilize their MSA for this engagement? If so, can the MSA and BAA documents be shared in advance? </w:t>
      </w:r>
    </w:p>
    <w:p w14:paraId="57B31EFB" w14:textId="311E3429" w:rsidR="00894685" w:rsidRPr="00925A90" w:rsidRDefault="00894685" w:rsidP="001A088D">
      <w:r w:rsidRPr="00925A90">
        <w:t xml:space="preserve">R: We </w:t>
      </w:r>
      <w:r w:rsidR="00B15DF1" w:rsidRPr="00925A90">
        <w:t xml:space="preserve">prefer to utilize our template BAA, but MSA can be vendor template or MUHC. </w:t>
      </w:r>
    </w:p>
    <w:p w14:paraId="0A831409" w14:textId="77777777" w:rsidR="00965B22" w:rsidRPr="00925A90" w:rsidRDefault="00965B22" w:rsidP="001A088D"/>
    <w:p w14:paraId="61C29DE4" w14:textId="77777777" w:rsidR="00965B22" w:rsidRPr="00925A90" w:rsidRDefault="00B15DF1" w:rsidP="001A088D">
      <w:r w:rsidRPr="00925A90">
        <w:t>Q:</w:t>
      </w:r>
      <w:r w:rsidR="001A088D" w:rsidRPr="00925A90">
        <w:t xml:space="preserve"> Will a full technical assessment be required once a vendor is selected? If so, can a copy of the assessment be provided in advance?</w:t>
      </w:r>
    </w:p>
    <w:p w14:paraId="7833529E" w14:textId="65C59A6F" w:rsidR="00965B22" w:rsidRPr="00925A90" w:rsidRDefault="00965B22" w:rsidP="001A088D">
      <w:r w:rsidRPr="00925A90">
        <w:t xml:space="preserve">R: Yes. The full assessment will not be provided in advance. </w:t>
      </w:r>
    </w:p>
    <w:p w14:paraId="54D8AFBA" w14:textId="7BFE319F" w:rsidR="001A088D" w:rsidRPr="001A088D" w:rsidRDefault="001A088D" w:rsidP="001A088D">
      <w:r w:rsidRPr="001A088D">
        <w:t xml:space="preserve"> </w:t>
      </w:r>
    </w:p>
    <w:p w14:paraId="2781647C" w14:textId="77777777" w:rsidR="001A088D" w:rsidRDefault="001A088D"/>
    <w:sectPr w:rsidR="001A0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7613C"/>
    <w:multiLevelType w:val="multilevel"/>
    <w:tmpl w:val="172E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0046B8"/>
    <w:multiLevelType w:val="multilevel"/>
    <w:tmpl w:val="6A7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9492071">
    <w:abstractNumId w:val="0"/>
  </w:num>
  <w:num w:numId="2" w16cid:durableId="1255163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8D"/>
    <w:rsid w:val="00060377"/>
    <w:rsid w:val="00072BE4"/>
    <w:rsid w:val="00084A5B"/>
    <w:rsid w:val="000A50C3"/>
    <w:rsid w:val="000C1598"/>
    <w:rsid w:val="000E7B0C"/>
    <w:rsid w:val="00167E3A"/>
    <w:rsid w:val="001764C7"/>
    <w:rsid w:val="001A088D"/>
    <w:rsid w:val="001B5767"/>
    <w:rsid w:val="001C32AD"/>
    <w:rsid w:val="001C6733"/>
    <w:rsid w:val="001F168E"/>
    <w:rsid w:val="00215432"/>
    <w:rsid w:val="00226A6D"/>
    <w:rsid w:val="00237C91"/>
    <w:rsid w:val="00254118"/>
    <w:rsid w:val="002844EB"/>
    <w:rsid w:val="00292C61"/>
    <w:rsid w:val="00293C1B"/>
    <w:rsid w:val="002C1EA4"/>
    <w:rsid w:val="002F1500"/>
    <w:rsid w:val="002F4471"/>
    <w:rsid w:val="002F5B2F"/>
    <w:rsid w:val="00327E93"/>
    <w:rsid w:val="003334FD"/>
    <w:rsid w:val="0035207B"/>
    <w:rsid w:val="003A236F"/>
    <w:rsid w:val="003D63D4"/>
    <w:rsid w:val="003E7760"/>
    <w:rsid w:val="004177D9"/>
    <w:rsid w:val="004222BB"/>
    <w:rsid w:val="00487570"/>
    <w:rsid w:val="004E36E6"/>
    <w:rsid w:val="004F1DA6"/>
    <w:rsid w:val="005B0B3F"/>
    <w:rsid w:val="005C3B4F"/>
    <w:rsid w:val="005C5AF8"/>
    <w:rsid w:val="00622F9A"/>
    <w:rsid w:val="00634B7E"/>
    <w:rsid w:val="006543BD"/>
    <w:rsid w:val="006D116F"/>
    <w:rsid w:val="006D3EA1"/>
    <w:rsid w:val="006E127A"/>
    <w:rsid w:val="006E2BE7"/>
    <w:rsid w:val="00705F7D"/>
    <w:rsid w:val="00711CCD"/>
    <w:rsid w:val="0073219A"/>
    <w:rsid w:val="00740BFD"/>
    <w:rsid w:val="00776B8F"/>
    <w:rsid w:val="00782997"/>
    <w:rsid w:val="007921B3"/>
    <w:rsid w:val="0082061B"/>
    <w:rsid w:val="008470A5"/>
    <w:rsid w:val="008571CA"/>
    <w:rsid w:val="008703C6"/>
    <w:rsid w:val="00894685"/>
    <w:rsid w:val="008C1D09"/>
    <w:rsid w:val="008D7F6A"/>
    <w:rsid w:val="008E19B5"/>
    <w:rsid w:val="008F06D7"/>
    <w:rsid w:val="00925A90"/>
    <w:rsid w:val="00965B22"/>
    <w:rsid w:val="00977C82"/>
    <w:rsid w:val="00981FDA"/>
    <w:rsid w:val="00990C75"/>
    <w:rsid w:val="009E6ECA"/>
    <w:rsid w:val="00A12E98"/>
    <w:rsid w:val="00A41960"/>
    <w:rsid w:val="00A45322"/>
    <w:rsid w:val="00A577D8"/>
    <w:rsid w:val="00A7626F"/>
    <w:rsid w:val="00A77E6F"/>
    <w:rsid w:val="00A8648F"/>
    <w:rsid w:val="00AA22C0"/>
    <w:rsid w:val="00AD0E7E"/>
    <w:rsid w:val="00AD1AA2"/>
    <w:rsid w:val="00AD2512"/>
    <w:rsid w:val="00AF31BF"/>
    <w:rsid w:val="00AF34D5"/>
    <w:rsid w:val="00B15DF1"/>
    <w:rsid w:val="00B47B56"/>
    <w:rsid w:val="00B5018C"/>
    <w:rsid w:val="00B746C8"/>
    <w:rsid w:val="00B94106"/>
    <w:rsid w:val="00BB2EC5"/>
    <w:rsid w:val="00BC2390"/>
    <w:rsid w:val="00BE6198"/>
    <w:rsid w:val="00C57C73"/>
    <w:rsid w:val="00CA0BBB"/>
    <w:rsid w:val="00CA67A3"/>
    <w:rsid w:val="00CC22AE"/>
    <w:rsid w:val="00D122AD"/>
    <w:rsid w:val="00D2356D"/>
    <w:rsid w:val="00D41843"/>
    <w:rsid w:val="00DD74FF"/>
    <w:rsid w:val="00E05AB0"/>
    <w:rsid w:val="00E16288"/>
    <w:rsid w:val="00E4503E"/>
    <w:rsid w:val="00E54277"/>
    <w:rsid w:val="00E552D0"/>
    <w:rsid w:val="00E769DA"/>
    <w:rsid w:val="00ED0E41"/>
    <w:rsid w:val="00F0471D"/>
    <w:rsid w:val="00F103FD"/>
    <w:rsid w:val="00F23439"/>
    <w:rsid w:val="00F6708C"/>
    <w:rsid w:val="00F77199"/>
    <w:rsid w:val="00F84B7A"/>
    <w:rsid w:val="00FA79B3"/>
    <w:rsid w:val="00FC3C3B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CC904"/>
  <w15:chartTrackingRefBased/>
  <w15:docId w15:val="{E558CC91-247E-47EA-9CC2-EAA67FC9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8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8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8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8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70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msystem.edu/ums/is/infosec/sections-mob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151ed212-8844-4ada-956a-bebd185236b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1335</Words>
  <Characters>7237</Characters>
  <Application>Microsoft Office Word</Application>
  <DocSecurity>0</DocSecurity>
  <Lines>160</Lines>
  <Paragraphs>80</Paragraphs>
  <ScaleCrop>false</ScaleCrop>
  <Company>University of Missouri Health Care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Maddox, Marcy</dc:creator>
  <cp:keywords/>
  <dc:description/>
  <cp:lastModifiedBy>Maddox, Marcy</cp:lastModifiedBy>
  <cp:revision>107</cp:revision>
  <dcterms:created xsi:type="dcterms:W3CDTF">2026-02-15T03:34:00Z</dcterms:created>
  <dcterms:modified xsi:type="dcterms:W3CDTF">2026-02-25T00:44:00Z</dcterms:modified>
</cp:coreProperties>
</file>