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92B5" w14:textId="77777777" w:rsidR="00BF5CE8" w:rsidRDefault="00AB54AC">
      <w:pPr>
        <w:pStyle w:val="Heading1"/>
        <w:spacing w:before="61"/>
        <w:ind w:firstLine="0"/>
      </w:pPr>
      <w:r>
        <w:rPr>
          <w:color w:val="030912"/>
        </w:rPr>
        <w:t>Tuition</w:t>
      </w:r>
      <w:r>
        <w:rPr>
          <w:color w:val="030912"/>
          <w:spacing w:val="-2"/>
        </w:rPr>
        <w:t xml:space="preserve"> </w:t>
      </w:r>
      <w:r>
        <w:rPr>
          <w:color w:val="030912"/>
        </w:rPr>
        <w:t>Exemption</w:t>
      </w:r>
      <w:r>
        <w:rPr>
          <w:color w:val="030912"/>
          <w:spacing w:val="-2"/>
        </w:rPr>
        <w:t xml:space="preserve"> </w:t>
      </w:r>
      <w:r>
        <w:rPr>
          <w:color w:val="030912"/>
        </w:rPr>
        <w:t>for</w:t>
      </w:r>
      <w:r>
        <w:rPr>
          <w:color w:val="030912"/>
          <w:spacing w:val="-5"/>
        </w:rPr>
        <w:t xml:space="preserve"> </w:t>
      </w:r>
      <w:r>
        <w:rPr>
          <w:color w:val="030912"/>
        </w:rPr>
        <w:t>Qualifying</w:t>
      </w:r>
      <w:r>
        <w:rPr>
          <w:color w:val="030912"/>
          <w:spacing w:val="-3"/>
        </w:rPr>
        <w:t xml:space="preserve"> </w:t>
      </w:r>
      <w:r>
        <w:rPr>
          <w:color w:val="030912"/>
        </w:rPr>
        <w:t>Senior</w:t>
      </w:r>
      <w:r>
        <w:rPr>
          <w:color w:val="030912"/>
          <w:spacing w:val="-4"/>
        </w:rPr>
        <w:t xml:space="preserve"> </w:t>
      </w:r>
      <w:r>
        <w:rPr>
          <w:color w:val="030912"/>
          <w:spacing w:val="-2"/>
        </w:rPr>
        <w:t>Citizens</w:t>
      </w:r>
    </w:p>
    <w:p w14:paraId="714A92B6" w14:textId="77777777" w:rsidR="00BF5CE8" w:rsidRDefault="00AB54AC">
      <w:pPr>
        <w:pStyle w:val="BodyText"/>
        <w:spacing w:before="44"/>
        <w:ind w:left="0" w:firstLine="0"/>
      </w:pPr>
      <w:r>
        <w:rPr>
          <w:color w:val="030912"/>
        </w:rPr>
        <w:t>Updated</w:t>
      </w:r>
      <w:r>
        <w:rPr>
          <w:color w:val="030912"/>
          <w:spacing w:val="-4"/>
        </w:rPr>
        <w:t xml:space="preserve"> </w:t>
      </w:r>
      <w:r>
        <w:rPr>
          <w:color w:val="030912"/>
        </w:rPr>
        <w:t>October</w:t>
      </w:r>
      <w:r>
        <w:rPr>
          <w:color w:val="030912"/>
          <w:spacing w:val="-3"/>
        </w:rPr>
        <w:t xml:space="preserve"> </w:t>
      </w:r>
      <w:r>
        <w:rPr>
          <w:color w:val="030912"/>
        </w:rPr>
        <w:t>18,</w:t>
      </w:r>
      <w:r>
        <w:rPr>
          <w:color w:val="030912"/>
          <w:spacing w:val="-3"/>
        </w:rPr>
        <w:t xml:space="preserve"> </w:t>
      </w:r>
      <w:r>
        <w:rPr>
          <w:color w:val="030912"/>
          <w:spacing w:val="-4"/>
        </w:rPr>
        <w:t>2024</w:t>
      </w:r>
    </w:p>
    <w:p w14:paraId="714A92B7" w14:textId="77777777" w:rsidR="00BF5CE8" w:rsidRDefault="00AB54AC">
      <w:pPr>
        <w:pStyle w:val="ListParagraph"/>
        <w:numPr>
          <w:ilvl w:val="0"/>
          <w:numId w:val="1"/>
        </w:numPr>
        <w:tabs>
          <w:tab w:val="left" w:pos="721"/>
        </w:tabs>
        <w:spacing w:before="205" w:line="278" w:lineRule="auto"/>
        <w:ind w:right="394"/>
        <w:rPr>
          <w:sz w:val="24"/>
        </w:rPr>
      </w:pPr>
      <w:r>
        <w:rPr>
          <w:b/>
          <w:color w:val="030912"/>
          <w:sz w:val="24"/>
        </w:rPr>
        <w:t xml:space="preserve">Tuition benefit: </w:t>
      </w:r>
      <w:r>
        <w:rPr>
          <w:color w:val="030912"/>
          <w:sz w:val="24"/>
        </w:rPr>
        <w:t>Under Section 173.091 of state statute, qualifying Missouri senior citizens may receive scholarships equivalent to the required tuition for enrollment in coursework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offered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by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a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Missouri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public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institution</w:t>
      </w:r>
      <w:r>
        <w:rPr>
          <w:color w:val="030912"/>
          <w:spacing w:val="-2"/>
          <w:sz w:val="24"/>
        </w:rPr>
        <w:t xml:space="preserve"> </w:t>
      </w:r>
      <w:r>
        <w:rPr>
          <w:color w:val="030912"/>
          <w:sz w:val="24"/>
        </w:rPr>
        <w:t>of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higher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education,</w:t>
      </w:r>
      <w:r>
        <w:rPr>
          <w:color w:val="030912"/>
          <w:spacing w:val="-2"/>
          <w:sz w:val="24"/>
        </w:rPr>
        <w:t xml:space="preserve"> </w:t>
      </w:r>
      <w:r>
        <w:rPr>
          <w:color w:val="030912"/>
          <w:sz w:val="24"/>
        </w:rPr>
        <w:t>including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the four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UM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System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universities.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Qualifying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Missouri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senior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citizens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may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not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be</w:t>
      </w:r>
      <w:r>
        <w:rPr>
          <w:color w:val="030912"/>
          <w:spacing w:val="-1"/>
          <w:sz w:val="24"/>
        </w:rPr>
        <w:t xml:space="preserve"> </w:t>
      </w:r>
      <w:r>
        <w:rPr>
          <w:color w:val="030912"/>
          <w:sz w:val="24"/>
        </w:rPr>
        <w:t>charged fees exceeding $25 per semester.</w:t>
      </w:r>
    </w:p>
    <w:p w14:paraId="714A92B8" w14:textId="77777777" w:rsidR="00BF5CE8" w:rsidRDefault="00AB54AC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81"/>
        <w:rPr>
          <w:sz w:val="24"/>
        </w:rPr>
      </w:pPr>
      <w:r>
        <w:rPr>
          <w:b/>
          <w:color w:val="030912"/>
          <w:sz w:val="24"/>
        </w:rPr>
        <w:t>Eligibility:</w:t>
      </w:r>
      <w:r>
        <w:rPr>
          <w:b/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To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qualify,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senior citizens</w:t>
      </w:r>
      <w:r>
        <w:rPr>
          <w:color w:val="030912"/>
          <w:spacing w:val="-2"/>
          <w:sz w:val="24"/>
        </w:rPr>
        <w:t xml:space="preserve"> </w:t>
      </w:r>
      <w:r>
        <w:rPr>
          <w:color w:val="030912"/>
          <w:sz w:val="24"/>
        </w:rPr>
        <w:t>must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prove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that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they are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at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least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65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years</w:t>
      </w:r>
      <w:r>
        <w:rPr>
          <w:color w:val="030912"/>
          <w:spacing w:val="-2"/>
          <w:sz w:val="24"/>
        </w:rPr>
        <w:t xml:space="preserve"> </w:t>
      </w:r>
      <w:r>
        <w:rPr>
          <w:color w:val="030912"/>
          <w:sz w:val="24"/>
        </w:rPr>
        <w:t>old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on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or before August 1 of the academic year of enrollment by presenting a driver’s license or other photo identification bearing the date of birth.</w:t>
      </w:r>
    </w:p>
    <w:p w14:paraId="714A92B9" w14:textId="77777777" w:rsidR="00BF5CE8" w:rsidRDefault="00AB54AC">
      <w:pPr>
        <w:pStyle w:val="ListParagraph"/>
        <w:numPr>
          <w:ilvl w:val="0"/>
          <w:numId w:val="1"/>
        </w:numPr>
        <w:tabs>
          <w:tab w:val="left" w:pos="721"/>
        </w:tabs>
        <w:spacing w:before="3" w:line="278" w:lineRule="auto"/>
        <w:ind w:right="74"/>
        <w:rPr>
          <w:sz w:val="24"/>
        </w:rPr>
      </w:pPr>
      <w:r>
        <w:rPr>
          <w:b/>
          <w:color w:val="030912"/>
          <w:sz w:val="24"/>
        </w:rPr>
        <w:t>Non-credit:</w:t>
      </w:r>
      <w:r>
        <w:rPr>
          <w:b/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Scholarships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are</w:t>
      </w:r>
      <w:r>
        <w:rPr>
          <w:color w:val="030912"/>
          <w:spacing w:val="-6"/>
          <w:sz w:val="24"/>
        </w:rPr>
        <w:t xml:space="preserve"> </w:t>
      </w:r>
      <w:r>
        <w:rPr>
          <w:color w:val="030912"/>
          <w:sz w:val="24"/>
        </w:rPr>
        <w:t>awarded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under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this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policy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only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when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a</w:t>
      </w:r>
      <w:r>
        <w:rPr>
          <w:color w:val="030912"/>
          <w:spacing w:val="-6"/>
          <w:sz w:val="24"/>
        </w:rPr>
        <w:t xml:space="preserve"> </w:t>
      </w:r>
      <w:r>
        <w:rPr>
          <w:color w:val="030912"/>
          <w:sz w:val="24"/>
        </w:rPr>
        <w:t>qualifying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Missouri senior citizen enrolls in the course on a non-credit basis (i.e., with no grade or credit awarded for completion of the course).</w:t>
      </w:r>
    </w:p>
    <w:p w14:paraId="714A92BA" w14:textId="77777777" w:rsidR="00BF5CE8" w:rsidRDefault="00AB54AC">
      <w:pPr>
        <w:pStyle w:val="Heading1"/>
        <w:numPr>
          <w:ilvl w:val="0"/>
          <w:numId w:val="1"/>
        </w:numPr>
        <w:tabs>
          <w:tab w:val="left" w:pos="720"/>
        </w:tabs>
        <w:ind w:left="720"/>
      </w:pPr>
      <w:r>
        <w:rPr>
          <w:color w:val="030912"/>
          <w:spacing w:val="-2"/>
        </w:rPr>
        <w:t>Courses</w:t>
      </w:r>
    </w:p>
    <w:p w14:paraId="714A92BB" w14:textId="77777777" w:rsidR="00BF5CE8" w:rsidRDefault="00AB54AC">
      <w:pPr>
        <w:pStyle w:val="ListParagraph"/>
        <w:numPr>
          <w:ilvl w:val="1"/>
          <w:numId w:val="1"/>
        </w:numPr>
        <w:tabs>
          <w:tab w:val="left" w:pos="1441"/>
        </w:tabs>
        <w:spacing w:before="44" w:line="278" w:lineRule="auto"/>
        <w:ind w:right="130"/>
        <w:rPr>
          <w:sz w:val="24"/>
        </w:rPr>
      </w:pPr>
      <w:r>
        <w:rPr>
          <w:color w:val="030912"/>
          <w:sz w:val="24"/>
        </w:rPr>
        <w:t>Qualifying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Missouri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senior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citizens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may</w:t>
      </w:r>
      <w:r>
        <w:rPr>
          <w:color w:val="030912"/>
          <w:spacing w:val="-1"/>
          <w:sz w:val="24"/>
        </w:rPr>
        <w:t xml:space="preserve"> </w:t>
      </w:r>
      <w:r>
        <w:rPr>
          <w:color w:val="030912"/>
          <w:sz w:val="24"/>
        </w:rPr>
        <w:t>enroll</w:t>
      </w:r>
      <w:r>
        <w:rPr>
          <w:color w:val="030912"/>
          <w:spacing w:val="-2"/>
          <w:sz w:val="24"/>
        </w:rPr>
        <w:t xml:space="preserve"> </w:t>
      </w:r>
      <w:r>
        <w:rPr>
          <w:color w:val="030912"/>
          <w:sz w:val="24"/>
        </w:rPr>
        <w:t>in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classes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for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which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there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is</w:t>
      </w:r>
      <w:r>
        <w:rPr>
          <w:color w:val="030912"/>
          <w:spacing w:val="-4"/>
          <w:sz w:val="24"/>
        </w:rPr>
        <w:t xml:space="preserve"> </w:t>
      </w:r>
      <w:r>
        <w:rPr>
          <w:color w:val="030912"/>
          <w:sz w:val="24"/>
        </w:rPr>
        <w:t>space available after tuition paying students have enrolled, regardless of modality, and must satisfy all course prerequisites established by the institution.</w:t>
      </w:r>
    </w:p>
    <w:p w14:paraId="714A92BC" w14:textId="77777777" w:rsidR="00BF5CE8" w:rsidRDefault="00AB54AC">
      <w:pPr>
        <w:pStyle w:val="ListParagraph"/>
        <w:numPr>
          <w:ilvl w:val="1"/>
          <w:numId w:val="1"/>
        </w:numPr>
        <w:tabs>
          <w:tab w:val="left" w:pos="1441"/>
        </w:tabs>
        <w:spacing w:line="278" w:lineRule="auto"/>
        <w:ind w:right="15"/>
        <w:rPr>
          <w:sz w:val="24"/>
        </w:rPr>
      </w:pPr>
      <w:r>
        <w:rPr>
          <w:color w:val="030912"/>
          <w:sz w:val="24"/>
        </w:rPr>
        <w:t>Institutions are not required to create additional sections of courses, to offer a course that would otherwise be canceled due to insufficient for-credit enrollment, or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to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provide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individualized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instruction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(e.g.,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through</w:t>
      </w:r>
      <w:r>
        <w:rPr>
          <w:color w:val="030912"/>
          <w:spacing w:val="-2"/>
          <w:sz w:val="24"/>
        </w:rPr>
        <w:t xml:space="preserve"> </w:t>
      </w:r>
      <w:r>
        <w:rPr>
          <w:color w:val="030912"/>
          <w:sz w:val="24"/>
        </w:rPr>
        <w:t>independent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study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or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similar courses) to accommodate students utilizing this benefit.</w:t>
      </w:r>
    </w:p>
    <w:p w14:paraId="714A92BD" w14:textId="77777777" w:rsidR="00BF5CE8" w:rsidRDefault="00AB54AC">
      <w:pPr>
        <w:pStyle w:val="ListParagraph"/>
        <w:numPr>
          <w:ilvl w:val="1"/>
          <w:numId w:val="1"/>
        </w:numPr>
        <w:tabs>
          <w:tab w:val="left" w:pos="1441"/>
        </w:tabs>
        <w:spacing w:line="278" w:lineRule="auto"/>
        <w:ind w:right="386"/>
        <w:rPr>
          <w:sz w:val="24"/>
        </w:rPr>
      </w:pPr>
      <w:r>
        <w:rPr>
          <w:color w:val="030912"/>
          <w:sz w:val="24"/>
        </w:rPr>
        <w:t>Institutions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may</w:t>
      </w:r>
      <w:r>
        <w:rPr>
          <w:color w:val="030912"/>
          <w:spacing w:val="-6"/>
          <w:sz w:val="24"/>
        </w:rPr>
        <w:t xml:space="preserve"> </w:t>
      </w:r>
      <w:r>
        <w:rPr>
          <w:color w:val="030912"/>
          <w:sz w:val="24"/>
        </w:rPr>
        <w:t>establish</w:t>
      </w:r>
      <w:r>
        <w:rPr>
          <w:color w:val="030912"/>
          <w:spacing w:val="-6"/>
          <w:sz w:val="24"/>
        </w:rPr>
        <w:t xml:space="preserve"> </w:t>
      </w:r>
      <w:r>
        <w:rPr>
          <w:color w:val="030912"/>
          <w:sz w:val="24"/>
        </w:rPr>
        <w:t>additional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restrictions</w:t>
      </w:r>
      <w:r>
        <w:rPr>
          <w:color w:val="030912"/>
          <w:spacing w:val="-5"/>
          <w:sz w:val="24"/>
        </w:rPr>
        <w:t xml:space="preserve"> </w:t>
      </w:r>
      <w:r>
        <w:rPr>
          <w:color w:val="030912"/>
          <w:sz w:val="24"/>
        </w:rPr>
        <w:t>on</w:t>
      </w:r>
      <w:r>
        <w:rPr>
          <w:color w:val="030912"/>
          <w:spacing w:val="-6"/>
          <w:sz w:val="24"/>
        </w:rPr>
        <w:t xml:space="preserve"> </w:t>
      </w:r>
      <w:r>
        <w:rPr>
          <w:color w:val="030912"/>
          <w:sz w:val="24"/>
        </w:rPr>
        <w:t>enrollment</w:t>
      </w:r>
      <w:r>
        <w:rPr>
          <w:color w:val="030912"/>
          <w:spacing w:val="-7"/>
          <w:sz w:val="24"/>
        </w:rPr>
        <w:t xml:space="preserve"> </w:t>
      </w:r>
      <w:r>
        <w:rPr>
          <w:color w:val="030912"/>
          <w:sz w:val="24"/>
        </w:rPr>
        <w:t>in</w:t>
      </w:r>
      <w:r>
        <w:rPr>
          <w:color w:val="030912"/>
          <w:spacing w:val="-6"/>
          <w:sz w:val="24"/>
        </w:rPr>
        <w:t xml:space="preserve"> </w:t>
      </w:r>
      <w:r>
        <w:rPr>
          <w:color w:val="030912"/>
          <w:sz w:val="24"/>
        </w:rPr>
        <w:t>graduate</w:t>
      </w:r>
      <w:r>
        <w:rPr>
          <w:color w:val="030912"/>
          <w:spacing w:val="-3"/>
          <w:sz w:val="24"/>
        </w:rPr>
        <w:t xml:space="preserve"> </w:t>
      </w:r>
      <w:r>
        <w:rPr>
          <w:color w:val="030912"/>
          <w:sz w:val="24"/>
        </w:rPr>
        <w:t>and professional coursework under this policy.</w:t>
      </w:r>
    </w:p>
    <w:p w14:paraId="714A92BE" w14:textId="77777777" w:rsidR="00BF5CE8" w:rsidRDefault="00AB54AC">
      <w:pPr>
        <w:pStyle w:val="ListParagraph"/>
        <w:numPr>
          <w:ilvl w:val="1"/>
          <w:numId w:val="1"/>
        </w:numPr>
        <w:tabs>
          <w:tab w:val="left" w:pos="1441"/>
        </w:tabs>
        <w:spacing w:line="278" w:lineRule="auto"/>
        <w:ind w:right="17"/>
        <w:rPr>
          <w:sz w:val="24"/>
        </w:rPr>
      </w:pPr>
      <w:r>
        <w:rPr>
          <w:color w:val="111111"/>
          <w:sz w:val="24"/>
        </w:rPr>
        <w:t>Any senior citizen who alters their enrollment status to receive credit or is found to be out of compliance with any other standards required to receive this benefit, will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be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retroactively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assessed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the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appropriate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tuition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and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fees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for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the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credit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sought.</w:t>
      </w:r>
    </w:p>
    <w:sectPr w:rsidR="00BF5CE8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A5BC0"/>
    <w:multiLevelType w:val="hybridMultilevel"/>
    <w:tmpl w:val="33C21962"/>
    <w:lvl w:ilvl="0" w:tplc="2D08D568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912"/>
        <w:spacing w:val="0"/>
        <w:w w:val="100"/>
        <w:sz w:val="24"/>
        <w:szCs w:val="24"/>
        <w:lang w:val="en-US" w:eastAsia="en-US" w:bidi="ar-SA"/>
      </w:rPr>
    </w:lvl>
    <w:lvl w:ilvl="1" w:tplc="88244944">
      <w:start w:val="1"/>
      <w:numFmt w:val="lowerLetter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912"/>
        <w:spacing w:val="-2"/>
        <w:w w:val="100"/>
        <w:sz w:val="24"/>
        <w:szCs w:val="24"/>
        <w:lang w:val="en-US" w:eastAsia="en-US" w:bidi="ar-SA"/>
      </w:rPr>
    </w:lvl>
    <w:lvl w:ilvl="2" w:tplc="0394C1C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41A944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27B2629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A970AE7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8934225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58F65D4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90AA61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95933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E8"/>
    <w:rsid w:val="005F2187"/>
    <w:rsid w:val="00AB54AC"/>
    <w:rsid w:val="00B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A92B5"/>
  <w15:docId w15:val="{052188A2-B5A8-4EA5-AF23-B811539B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4273BCF4-A5A7-45F3-909B-5D65D129BF2F}"/>
</file>

<file path=customXml/itemProps2.xml><?xml version="1.0" encoding="utf-8"?>
<ds:datastoreItem xmlns:ds="http://schemas.openxmlformats.org/officeDocument/2006/customXml" ds:itemID="{EE00CC8C-B08F-4752-91AB-14822CC5FDB4}"/>
</file>

<file path=customXml/itemProps3.xml><?xml version="1.0" encoding="utf-8"?>
<ds:datastoreItem xmlns:ds="http://schemas.openxmlformats.org/officeDocument/2006/customXml" ds:itemID="{3A0475A6-C840-4A81-A5F5-19608D58C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1550</Characters>
  <Application>Microsoft Office Word</Application>
  <DocSecurity>4</DocSecurity>
  <Lines>25</Lines>
  <Paragraphs>10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2</cp:revision>
  <dcterms:created xsi:type="dcterms:W3CDTF">2026-02-17T18:29:00Z</dcterms:created>
  <dcterms:modified xsi:type="dcterms:W3CDTF">2026-02-17T18:29:00Z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  <property fmtid="{D5CDD505-2E9C-101B-9397-08002B2CF9AE}" pid="6" name="ContentTypeId">
    <vt:lpwstr>0x010100FA7F7C47A608324A90C334C1CCFAF685</vt:lpwstr>
  </property>
</Properties>
</file>