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486C" w14:textId="499A427E" w:rsidR="00FD55A5" w:rsidRPr="000251C4" w:rsidRDefault="00F43131">
      <w:pPr>
        <w:rPr>
          <w:rFonts w:asciiTheme="majorHAnsi" w:hAnsiTheme="majorHAnsi" w:cstheme="majorHAnsi"/>
        </w:rPr>
      </w:pPr>
      <w:r w:rsidRPr="00F43131">
        <w:rPr>
          <w:rFonts w:asciiTheme="majorHAnsi" w:hAnsiTheme="majorHAnsi" w:cstheme="majorHAnsi"/>
          <w:b/>
          <w:bCs/>
        </w:rPr>
        <w:t xml:space="preserve">Tax-Exempt </w:t>
      </w:r>
      <w:r w:rsidR="00825A1E">
        <w:rPr>
          <w:rFonts w:asciiTheme="majorHAnsi" w:hAnsiTheme="majorHAnsi" w:cstheme="majorHAnsi"/>
          <w:b/>
          <w:bCs/>
        </w:rPr>
        <w:t>Debt</w:t>
      </w:r>
      <w:r w:rsidRPr="00F43131">
        <w:rPr>
          <w:rFonts w:asciiTheme="majorHAnsi" w:hAnsiTheme="majorHAnsi" w:cstheme="majorHAnsi"/>
          <w:b/>
          <w:bCs/>
        </w:rPr>
        <w:t xml:space="preserve"> Compliance Procedure Guide</w:t>
      </w:r>
    </w:p>
    <w:p w14:paraId="764C46EB" w14:textId="77777777" w:rsidR="00F43131" w:rsidRDefault="00F43131">
      <w:pPr>
        <w:rPr>
          <w:rFonts w:asciiTheme="majorHAnsi" w:hAnsiTheme="majorHAnsi" w:cstheme="majorHAnsi"/>
          <w:b/>
          <w:bCs/>
        </w:rPr>
      </w:pPr>
    </w:p>
    <w:p w14:paraId="2988C3C5" w14:textId="450BF1E9" w:rsidR="00FD55A5" w:rsidRPr="000251C4" w:rsidRDefault="002C0DE0">
      <w:pPr>
        <w:rPr>
          <w:rFonts w:asciiTheme="majorHAnsi" w:hAnsiTheme="majorHAnsi" w:cstheme="majorHAnsi"/>
          <w:b/>
          <w:bCs/>
        </w:rPr>
      </w:pPr>
      <w:r w:rsidRPr="000251C4">
        <w:rPr>
          <w:rFonts w:asciiTheme="majorHAnsi" w:hAnsiTheme="majorHAnsi" w:cstheme="majorHAnsi"/>
          <w:b/>
          <w:bCs/>
        </w:rPr>
        <w:t>Introduction</w:t>
      </w:r>
    </w:p>
    <w:p w14:paraId="309059B4" w14:textId="301A1D1C" w:rsidR="00961EF3" w:rsidRPr="000251C4" w:rsidRDefault="00C93EF7" w:rsidP="00035F4C">
      <w:pPr>
        <w:rPr>
          <w:rFonts w:asciiTheme="majorHAnsi" w:hAnsiTheme="majorHAnsi" w:cstheme="majorHAnsi"/>
        </w:rPr>
      </w:pPr>
      <w:r w:rsidRPr="000251C4">
        <w:rPr>
          <w:rFonts w:asciiTheme="majorHAnsi" w:hAnsiTheme="majorHAnsi" w:cstheme="majorHAnsi"/>
        </w:rPr>
        <w:t>The University of Missouri (the “University”) frequently finances facilities in whole or in part with proceeds of tax-exempt</w:t>
      </w:r>
      <w:r w:rsidR="008D004C" w:rsidRPr="000251C4">
        <w:rPr>
          <w:rFonts w:asciiTheme="majorHAnsi" w:hAnsiTheme="majorHAnsi" w:cstheme="majorHAnsi"/>
        </w:rPr>
        <w:t xml:space="preserve"> bonds</w:t>
      </w:r>
      <w:r w:rsidR="00BC15C8" w:rsidRPr="000251C4">
        <w:rPr>
          <w:rFonts w:asciiTheme="majorHAnsi" w:hAnsiTheme="majorHAnsi" w:cstheme="majorHAnsi"/>
        </w:rPr>
        <w:t xml:space="preserve">. </w:t>
      </w:r>
      <w:r w:rsidRPr="000251C4">
        <w:rPr>
          <w:rFonts w:asciiTheme="majorHAnsi" w:hAnsiTheme="majorHAnsi" w:cstheme="majorHAnsi"/>
        </w:rPr>
        <w:t xml:space="preserve"> </w:t>
      </w:r>
      <w:r w:rsidR="00035F4C" w:rsidRPr="000251C4">
        <w:rPr>
          <w:rFonts w:asciiTheme="majorHAnsi" w:hAnsiTheme="majorHAnsi" w:cstheme="majorHAnsi"/>
        </w:rPr>
        <w:t xml:space="preserve">Using tax-exempt (or tax-advantaged) bonds </w:t>
      </w:r>
      <w:r w:rsidR="004D27CF" w:rsidRPr="000251C4">
        <w:rPr>
          <w:rFonts w:asciiTheme="majorHAnsi" w:hAnsiTheme="majorHAnsi" w:cstheme="majorHAnsi"/>
        </w:rPr>
        <w:t>usually provides</w:t>
      </w:r>
      <w:r w:rsidR="00035F4C" w:rsidRPr="000251C4">
        <w:rPr>
          <w:rFonts w:asciiTheme="majorHAnsi" w:hAnsiTheme="majorHAnsi" w:cstheme="majorHAnsi"/>
        </w:rPr>
        <w:t xml:space="preserve"> a cheaper source of financing compared to taxable bonds</w:t>
      </w:r>
      <w:r w:rsidR="003602C9">
        <w:rPr>
          <w:rFonts w:asciiTheme="majorHAnsi" w:hAnsiTheme="majorHAnsi" w:cstheme="majorHAnsi"/>
        </w:rPr>
        <w:t xml:space="preserve"> because</w:t>
      </w:r>
      <w:r w:rsidR="00035F4C" w:rsidRPr="000251C4">
        <w:rPr>
          <w:rFonts w:asciiTheme="majorHAnsi" w:hAnsiTheme="majorHAnsi" w:cstheme="majorHAnsi"/>
        </w:rPr>
        <w:t xml:space="preserve">, the </w:t>
      </w:r>
      <w:r w:rsidR="00FA6AFA">
        <w:rPr>
          <w:rFonts w:asciiTheme="majorHAnsi" w:hAnsiTheme="majorHAnsi" w:cstheme="majorHAnsi"/>
        </w:rPr>
        <w:t>purchaser</w:t>
      </w:r>
      <w:r w:rsidR="00035F4C" w:rsidRPr="000251C4">
        <w:rPr>
          <w:rFonts w:asciiTheme="majorHAnsi" w:hAnsiTheme="majorHAnsi" w:cstheme="majorHAnsi"/>
        </w:rPr>
        <w:t xml:space="preserve"> of the bonds is willing to a</w:t>
      </w:r>
      <w:r w:rsidR="00FA6AFA">
        <w:rPr>
          <w:rFonts w:asciiTheme="majorHAnsi" w:hAnsiTheme="majorHAnsi" w:cstheme="majorHAnsi"/>
        </w:rPr>
        <w:t>ccept a</w:t>
      </w:r>
      <w:r w:rsidR="00035F4C" w:rsidRPr="000251C4">
        <w:rPr>
          <w:rFonts w:asciiTheme="majorHAnsi" w:hAnsiTheme="majorHAnsi" w:cstheme="majorHAnsi"/>
        </w:rPr>
        <w:t xml:space="preserve"> lower return in exchange for not having to pay federal income tax on the interest earned.  </w:t>
      </w:r>
    </w:p>
    <w:p w14:paraId="106574BB" w14:textId="1ED3635C" w:rsidR="00CE5AC1" w:rsidRPr="000251C4" w:rsidRDefault="00035F4C">
      <w:pPr>
        <w:rPr>
          <w:rFonts w:asciiTheme="majorHAnsi" w:hAnsiTheme="majorHAnsi" w:cstheme="majorHAnsi"/>
        </w:rPr>
      </w:pPr>
      <w:r w:rsidRPr="000251C4">
        <w:rPr>
          <w:rFonts w:asciiTheme="majorHAnsi" w:hAnsiTheme="majorHAnsi" w:cstheme="majorHAnsi"/>
        </w:rPr>
        <w:t xml:space="preserve">As </w:t>
      </w:r>
      <w:r w:rsidR="00FA6AFA">
        <w:rPr>
          <w:rFonts w:asciiTheme="majorHAnsi" w:hAnsiTheme="majorHAnsi" w:cstheme="majorHAnsi"/>
        </w:rPr>
        <w:t>a condition of such</w:t>
      </w:r>
      <w:r w:rsidRPr="000251C4">
        <w:rPr>
          <w:rFonts w:asciiTheme="majorHAnsi" w:hAnsiTheme="majorHAnsi" w:cstheme="majorHAnsi"/>
        </w:rPr>
        <w:t xml:space="preserve"> tax</w:t>
      </w:r>
      <w:r w:rsidR="00FC47CF">
        <w:rPr>
          <w:rFonts w:asciiTheme="majorHAnsi" w:hAnsiTheme="majorHAnsi" w:cstheme="majorHAnsi"/>
        </w:rPr>
        <w:t>-</w:t>
      </w:r>
      <w:r w:rsidRPr="000251C4">
        <w:rPr>
          <w:rFonts w:asciiTheme="majorHAnsi" w:hAnsiTheme="majorHAnsi" w:cstheme="majorHAnsi"/>
        </w:rPr>
        <w:t xml:space="preserve">advantages, Federal tax law places </w:t>
      </w:r>
      <w:r w:rsidR="006D7420">
        <w:rPr>
          <w:rFonts w:asciiTheme="majorHAnsi" w:hAnsiTheme="majorHAnsi" w:cstheme="majorHAnsi"/>
        </w:rPr>
        <w:t>certain restrictions</w:t>
      </w:r>
      <w:r w:rsidRPr="000251C4">
        <w:rPr>
          <w:rFonts w:asciiTheme="majorHAnsi" w:hAnsiTheme="majorHAnsi" w:cstheme="majorHAnsi"/>
        </w:rPr>
        <w:t xml:space="preserve"> on </w:t>
      </w:r>
      <w:r w:rsidR="006D7420">
        <w:rPr>
          <w:rFonts w:asciiTheme="majorHAnsi" w:hAnsiTheme="majorHAnsi" w:cstheme="majorHAnsi"/>
        </w:rPr>
        <w:t>the use of tax-exempt</w:t>
      </w:r>
      <w:r w:rsidR="007D04C1" w:rsidRPr="000251C4">
        <w:rPr>
          <w:rFonts w:asciiTheme="majorHAnsi" w:hAnsiTheme="majorHAnsi" w:cstheme="majorHAnsi"/>
        </w:rPr>
        <w:t xml:space="preserve"> </w:t>
      </w:r>
      <w:r w:rsidR="007276AE">
        <w:rPr>
          <w:rFonts w:asciiTheme="majorHAnsi" w:hAnsiTheme="majorHAnsi" w:cstheme="majorHAnsi"/>
        </w:rPr>
        <w:t>bond proceeds and tax-exempt bond-financed facilitie</w:t>
      </w:r>
      <w:r w:rsidRPr="000251C4">
        <w:rPr>
          <w:rFonts w:asciiTheme="majorHAnsi" w:hAnsiTheme="majorHAnsi" w:cstheme="majorHAnsi"/>
        </w:rPr>
        <w:t xml:space="preserve">s (a “financed facility”) by </w:t>
      </w:r>
      <w:r w:rsidR="00855BC5">
        <w:rPr>
          <w:rFonts w:asciiTheme="majorHAnsi" w:hAnsiTheme="majorHAnsi" w:cstheme="majorHAnsi"/>
        </w:rPr>
        <w:t>private, nongovernmental persons, such as individuals and for-profit companies. The use of bond proceeds or bond-financed facilities by such persons is referred to as “private business use”</w:t>
      </w:r>
      <w:r w:rsidR="00B25648">
        <w:rPr>
          <w:rFonts w:asciiTheme="majorHAnsi" w:hAnsiTheme="majorHAnsi" w:cstheme="majorHAnsi"/>
        </w:rPr>
        <w:t xml:space="preserve"> </w:t>
      </w:r>
      <w:r w:rsidR="00B25648" w:rsidRPr="00B25648">
        <w:rPr>
          <w:rFonts w:asciiTheme="majorHAnsi" w:hAnsiTheme="majorHAnsi" w:cstheme="majorHAnsi"/>
        </w:rPr>
        <w:t xml:space="preserve">and would include indirect benefit through their use of </w:t>
      </w:r>
      <w:proofErr w:type="gramStart"/>
      <w:r w:rsidR="00B25648" w:rsidRPr="00B25648">
        <w:rPr>
          <w:rFonts w:asciiTheme="majorHAnsi" w:hAnsiTheme="majorHAnsi" w:cstheme="majorHAnsi"/>
        </w:rPr>
        <w:t>University</w:t>
      </w:r>
      <w:proofErr w:type="gramEnd"/>
      <w:r w:rsidR="00B25648" w:rsidRPr="00B25648">
        <w:rPr>
          <w:rFonts w:asciiTheme="majorHAnsi" w:hAnsiTheme="majorHAnsi" w:cstheme="majorHAnsi"/>
        </w:rPr>
        <w:t xml:space="preserve"> owned financed facilities</w:t>
      </w:r>
      <w:r w:rsidR="00D37AA8">
        <w:rPr>
          <w:rFonts w:asciiTheme="majorHAnsi" w:hAnsiTheme="majorHAnsi" w:cstheme="majorHAnsi"/>
        </w:rPr>
        <w:t>.</w:t>
      </w:r>
      <w:r w:rsidRPr="000251C4">
        <w:rPr>
          <w:rFonts w:asciiTheme="majorHAnsi" w:hAnsiTheme="majorHAnsi" w:cstheme="majorHAnsi"/>
        </w:rPr>
        <w:t xml:space="preserve"> </w:t>
      </w:r>
      <w:r w:rsidR="0027670E" w:rsidRPr="000251C4">
        <w:rPr>
          <w:rFonts w:asciiTheme="majorHAnsi" w:hAnsiTheme="majorHAnsi" w:cstheme="majorHAnsi"/>
        </w:rPr>
        <w:t xml:space="preserve">In a broad sense, private business use can be thought of as for-profit </w:t>
      </w:r>
      <w:r w:rsidR="00B5061A" w:rsidRPr="000251C4">
        <w:rPr>
          <w:rFonts w:asciiTheme="majorHAnsi" w:hAnsiTheme="majorHAnsi" w:cstheme="majorHAnsi"/>
        </w:rPr>
        <w:t>activities</w:t>
      </w:r>
      <w:r w:rsidR="00CE3F58">
        <w:rPr>
          <w:rFonts w:asciiTheme="majorHAnsi" w:hAnsiTheme="majorHAnsi" w:cstheme="majorHAnsi"/>
        </w:rPr>
        <w:t xml:space="preserve"> by </w:t>
      </w:r>
      <w:r w:rsidR="00050B13">
        <w:rPr>
          <w:rFonts w:asciiTheme="majorHAnsi" w:hAnsiTheme="majorHAnsi" w:cstheme="majorHAnsi"/>
        </w:rPr>
        <w:t>non-</w:t>
      </w:r>
      <w:r w:rsidR="00B77E27">
        <w:rPr>
          <w:rFonts w:asciiTheme="majorHAnsi" w:hAnsiTheme="majorHAnsi" w:cstheme="majorHAnsi"/>
        </w:rPr>
        <w:t>university entities</w:t>
      </w:r>
      <w:r w:rsidR="00B5061A" w:rsidRPr="000251C4">
        <w:rPr>
          <w:rFonts w:asciiTheme="majorHAnsi" w:hAnsiTheme="majorHAnsi" w:cstheme="majorHAnsi"/>
        </w:rPr>
        <w:t xml:space="preserve">, and </w:t>
      </w:r>
      <w:r w:rsidR="00E740B2" w:rsidRPr="000251C4">
        <w:rPr>
          <w:rFonts w:asciiTheme="majorHAnsi" w:hAnsiTheme="majorHAnsi" w:cstheme="majorHAnsi"/>
        </w:rPr>
        <w:t>allowance</w:t>
      </w:r>
      <w:r w:rsidR="00A12D2B" w:rsidRPr="000251C4">
        <w:rPr>
          <w:rFonts w:asciiTheme="majorHAnsi" w:hAnsiTheme="majorHAnsi" w:cstheme="majorHAnsi"/>
        </w:rPr>
        <w:t>s</w:t>
      </w:r>
      <w:r w:rsidR="00E740B2" w:rsidRPr="000251C4">
        <w:rPr>
          <w:rFonts w:asciiTheme="majorHAnsi" w:hAnsiTheme="majorHAnsi" w:cstheme="majorHAnsi"/>
        </w:rPr>
        <w:t xml:space="preserve"> for</w:t>
      </w:r>
      <w:r w:rsidR="00B5061A" w:rsidRPr="000251C4">
        <w:rPr>
          <w:rFonts w:asciiTheme="majorHAnsi" w:hAnsiTheme="majorHAnsi" w:cstheme="majorHAnsi"/>
        </w:rPr>
        <w:t xml:space="preserve"> this type of use</w:t>
      </w:r>
      <w:r w:rsidR="00E740B2" w:rsidRPr="000251C4">
        <w:rPr>
          <w:rFonts w:asciiTheme="majorHAnsi" w:hAnsiTheme="majorHAnsi" w:cstheme="majorHAnsi"/>
        </w:rPr>
        <w:t xml:space="preserve"> </w:t>
      </w:r>
      <w:r w:rsidR="00793E61">
        <w:rPr>
          <w:rFonts w:asciiTheme="majorHAnsi" w:hAnsiTheme="majorHAnsi" w:cstheme="majorHAnsi"/>
        </w:rPr>
        <w:t>in finan</w:t>
      </w:r>
      <w:r w:rsidR="00123311">
        <w:rPr>
          <w:rFonts w:asciiTheme="majorHAnsi" w:hAnsiTheme="majorHAnsi" w:cstheme="majorHAnsi"/>
        </w:rPr>
        <w:t xml:space="preserve">ced facilities </w:t>
      </w:r>
      <w:r w:rsidR="00FD55A5" w:rsidRPr="000251C4">
        <w:rPr>
          <w:rFonts w:asciiTheme="majorHAnsi" w:hAnsiTheme="majorHAnsi" w:cstheme="majorHAnsi"/>
        </w:rPr>
        <w:t>are minimal</w:t>
      </w:r>
      <w:r w:rsidR="00123311">
        <w:rPr>
          <w:rFonts w:asciiTheme="majorHAnsi" w:hAnsiTheme="majorHAnsi" w:cstheme="majorHAnsi"/>
        </w:rPr>
        <w:t>.  D</w:t>
      </w:r>
      <w:r w:rsidR="00FD55A5" w:rsidRPr="000251C4">
        <w:rPr>
          <w:rFonts w:asciiTheme="majorHAnsi" w:hAnsiTheme="majorHAnsi" w:cstheme="majorHAnsi"/>
        </w:rPr>
        <w:t xml:space="preserve">irect and indirect penalties for exceeding those </w:t>
      </w:r>
      <w:r w:rsidR="00CE5AC1" w:rsidRPr="000251C4">
        <w:rPr>
          <w:rFonts w:asciiTheme="majorHAnsi" w:hAnsiTheme="majorHAnsi" w:cstheme="majorHAnsi"/>
        </w:rPr>
        <w:t>allowance</w:t>
      </w:r>
      <w:r w:rsidR="00FD55A5" w:rsidRPr="000251C4">
        <w:rPr>
          <w:rFonts w:asciiTheme="majorHAnsi" w:hAnsiTheme="majorHAnsi" w:cstheme="majorHAnsi"/>
        </w:rPr>
        <w:t>s</w:t>
      </w:r>
      <w:r w:rsidR="00C70580">
        <w:rPr>
          <w:rFonts w:asciiTheme="majorHAnsi" w:hAnsiTheme="majorHAnsi" w:cstheme="majorHAnsi"/>
        </w:rPr>
        <w:t>, including possible loss of tax-exempt status of a particular bond issue,</w:t>
      </w:r>
      <w:r w:rsidR="00EE4075" w:rsidRPr="000251C4">
        <w:rPr>
          <w:rFonts w:asciiTheme="majorHAnsi" w:hAnsiTheme="majorHAnsi" w:cstheme="majorHAnsi"/>
        </w:rPr>
        <w:t xml:space="preserve"> </w:t>
      </w:r>
      <w:r w:rsidR="00FD55A5" w:rsidRPr="000251C4">
        <w:rPr>
          <w:rFonts w:asciiTheme="majorHAnsi" w:hAnsiTheme="majorHAnsi" w:cstheme="majorHAnsi"/>
        </w:rPr>
        <w:t>can be significant</w:t>
      </w:r>
      <w:r w:rsidR="008707A3" w:rsidRPr="000251C4">
        <w:rPr>
          <w:rFonts w:asciiTheme="majorHAnsi" w:hAnsiTheme="majorHAnsi" w:cstheme="majorHAnsi"/>
        </w:rPr>
        <w:t>.</w:t>
      </w:r>
      <w:r w:rsidR="00C70580">
        <w:rPr>
          <w:rFonts w:asciiTheme="majorHAnsi" w:hAnsiTheme="majorHAnsi" w:cstheme="majorHAnsi"/>
        </w:rPr>
        <w:t xml:space="preserve">  The University is responsible for ensuring that all outstanding </w:t>
      </w:r>
      <w:r w:rsidR="00245A6E">
        <w:rPr>
          <w:rFonts w:asciiTheme="majorHAnsi" w:hAnsiTheme="majorHAnsi" w:cstheme="majorHAnsi"/>
        </w:rPr>
        <w:t>bond issues comply with private business use restrictions.</w:t>
      </w:r>
    </w:p>
    <w:p w14:paraId="6357861D" w14:textId="16D284D0" w:rsidR="00FD55A5" w:rsidRPr="000251C4" w:rsidRDefault="00C0321C">
      <w:pPr>
        <w:rPr>
          <w:rFonts w:asciiTheme="majorHAnsi" w:hAnsiTheme="majorHAnsi" w:cstheme="majorHAnsi"/>
        </w:rPr>
      </w:pPr>
      <w:r w:rsidRPr="000251C4">
        <w:rPr>
          <w:rFonts w:asciiTheme="majorHAnsi" w:hAnsiTheme="majorHAnsi" w:cstheme="majorHAnsi"/>
        </w:rPr>
        <w:t>C</w:t>
      </w:r>
      <w:r w:rsidR="002C6CAB" w:rsidRPr="000251C4">
        <w:rPr>
          <w:rFonts w:asciiTheme="majorHAnsi" w:hAnsiTheme="majorHAnsi" w:cstheme="majorHAnsi"/>
        </w:rPr>
        <w:t>o</w:t>
      </w:r>
      <w:r w:rsidR="0054620C" w:rsidRPr="000251C4">
        <w:rPr>
          <w:rFonts w:asciiTheme="majorHAnsi" w:hAnsiTheme="majorHAnsi" w:cstheme="majorHAnsi"/>
        </w:rPr>
        <w:t>mpliance with tax law</w:t>
      </w:r>
      <w:r w:rsidR="002449C7" w:rsidRPr="000251C4">
        <w:rPr>
          <w:rFonts w:asciiTheme="majorHAnsi" w:hAnsiTheme="majorHAnsi" w:cstheme="majorHAnsi"/>
        </w:rPr>
        <w:t xml:space="preserve"> must be maintained for the life of the issued bonds</w:t>
      </w:r>
      <w:r w:rsidR="008707A3" w:rsidRPr="000251C4">
        <w:rPr>
          <w:rFonts w:asciiTheme="majorHAnsi" w:hAnsiTheme="majorHAnsi" w:cstheme="majorHAnsi"/>
        </w:rPr>
        <w:t xml:space="preserve">, which requires ongoing monitoring of any facility financed with tax-exempt </w:t>
      </w:r>
      <w:r w:rsidR="00245A6E">
        <w:rPr>
          <w:rFonts w:asciiTheme="majorHAnsi" w:hAnsiTheme="majorHAnsi" w:cstheme="majorHAnsi"/>
        </w:rPr>
        <w:t xml:space="preserve">bond </w:t>
      </w:r>
      <w:r w:rsidR="008707A3" w:rsidRPr="000251C4">
        <w:rPr>
          <w:rFonts w:asciiTheme="majorHAnsi" w:hAnsiTheme="majorHAnsi" w:cstheme="majorHAnsi"/>
        </w:rPr>
        <w:t>proceeds</w:t>
      </w:r>
      <w:r w:rsidR="002449C7" w:rsidRPr="000251C4">
        <w:rPr>
          <w:rFonts w:asciiTheme="majorHAnsi" w:hAnsiTheme="majorHAnsi" w:cstheme="majorHAnsi"/>
        </w:rPr>
        <w:t>.</w:t>
      </w:r>
      <w:r w:rsidR="008707A3" w:rsidRPr="000251C4">
        <w:rPr>
          <w:rFonts w:asciiTheme="majorHAnsi" w:hAnsiTheme="majorHAnsi" w:cstheme="majorHAnsi"/>
        </w:rPr>
        <w:t xml:space="preserve">  This </w:t>
      </w:r>
      <w:r w:rsidR="00460B02" w:rsidRPr="000251C4">
        <w:rPr>
          <w:rFonts w:asciiTheme="majorHAnsi" w:hAnsiTheme="majorHAnsi" w:cstheme="majorHAnsi"/>
        </w:rPr>
        <w:t>guide</w:t>
      </w:r>
      <w:r w:rsidR="00AF1B2A" w:rsidRPr="000251C4">
        <w:rPr>
          <w:rFonts w:asciiTheme="majorHAnsi" w:hAnsiTheme="majorHAnsi" w:cstheme="majorHAnsi"/>
        </w:rPr>
        <w:t xml:space="preserve"> </w:t>
      </w:r>
      <w:r w:rsidR="008707A3" w:rsidRPr="000251C4">
        <w:rPr>
          <w:rFonts w:asciiTheme="majorHAnsi" w:hAnsiTheme="majorHAnsi" w:cstheme="majorHAnsi"/>
        </w:rPr>
        <w:t>provides a broad outline for the environment of issuing tax</w:t>
      </w:r>
      <w:r w:rsidR="00364692" w:rsidRPr="000251C4">
        <w:rPr>
          <w:rFonts w:asciiTheme="majorHAnsi" w:hAnsiTheme="majorHAnsi" w:cstheme="majorHAnsi"/>
        </w:rPr>
        <w:t>-</w:t>
      </w:r>
      <w:r w:rsidR="008707A3" w:rsidRPr="000251C4">
        <w:rPr>
          <w:rFonts w:asciiTheme="majorHAnsi" w:hAnsiTheme="majorHAnsi" w:cstheme="majorHAnsi"/>
        </w:rPr>
        <w:t xml:space="preserve">exempt bonds to aid any </w:t>
      </w:r>
      <w:proofErr w:type="gramStart"/>
      <w:r w:rsidR="008707A3" w:rsidRPr="000251C4">
        <w:rPr>
          <w:rFonts w:asciiTheme="majorHAnsi" w:hAnsiTheme="majorHAnsi" w:cstheme="majorHAnsi"/>
        </w:rPr>
        <w:t>involved parties</w:t>
      </w:r>
      <w:proofErr w:type="gramEnd"/>
      <w:r w:rsidR="008707A3" w:rsidRPr="000251C4">
        <w:rPr>
          <w:rFonts w:asciiTheme="majorHAnsi" w:hAnsiTheme="majorHAnsi" w:cstheme="majorHAnsi"/>
        </w:rPr>
        <w:t xml:space="preserve"> in understanding various impacts to them and the University.</w:t>
      </w:r>
    </w:p>
    <w:p w14:paraId="201E9E2F" w14:textId="3A8F59CD" w:rsidR="00FD55A5" w:rsidRPr="000251C4" w:rsidRDefault="003A35C6">
      <w:pPr>
        <w:rPr>
          <w:rFonts w:asciiTheme="majorHAnsi" w:hAnsiTheme="majorHAnsi" w:cstheme="majorHAnsi"/>
        </w:rPr>
      </w:pPr>
      <w:r w:rsidRPr="000251C4">
        <w:rPr>
          <w:rFonts w:asciiTheme="majorHAnsi" w:hAnsiTheme="majorHAnsi" w:cstheme="majorHAnsi"/>
        </w:rPr>
        <w:t>F</w:t>
      </w:r>
      <w:r w:rsidR="00FD55A5" w:rsidRPr="000251C4">
        <w:rPr>
          <w:rFonts w:asciiTheme="majorHAnsi" w:hAnsiTheme="majorHAnsi" w:cstheme="majorHAnsi"/>
        </w:rPr>
        <w:t>ed</w:t>
      </w:r>
      <w:r w:rsidRPr="000251C4">
        <w:rPr>
          <w:rFonts w:asciiTheme="majorHAnsi" w:hAnsiTheme="majorHAnsi" w:cstheme="majorHAnsi"/>
        </w:rPr>
        <w:t>eral</w:t>
      </w:r>
      <w:r w:rsidR="00FD55A5" w:rsidRPr="000251C4">
        <w:rPr>
          <w:rFonts w:asciiTheme="majorHAnsi" w:hAnsiTheme="majorHAnsi" w:cstheme="majorHAnsi"/>
        </w:rPr>
        <w:t xml:space="preserve"> </w:t>
      </w:r>
      <w:r w:rsidR="00245A6E">
        <w:rPr>
          <w:rFonts w:asciiTheme="majorHAnsi" w:hAnsiTheme="majorHAnsi" w:cstheme="majorHAnsi"/>
        </w:rPr>
        <w:t>and</w:t>
      </w:r>
      <w:r w:rsidR="00FD55A5" w:rsidRPr="000251C4">
        <w:rPr>
          <w:rFonts w:asciiTheme="majorHAnsi" w:hAnsiTheme="majorHAnsi" w:cstheme="majorHAnsi"/>
        </w:rPr>
        <w:t xml:space="preserve"> state regulatory </w:t>
      </w:r>
      <w:r w:rsidRPr="000251C4">
        <w:rPr>
          <w:rFonts w:asciiTheme="majorHAnsi" w:hAnsiTheme="majorHAnsi" w:cstheme="majorHAnsi"/>
        </w:rPr>
        <w:t>requirements should</w:t>
      </w:r>
      <w:r w:rsidR="00FD55A5" w:rsidRPr="000251C4">
        <w:rPr>
          <w:rFonts w:asciiTheme="majorHAnsi" w:hAnsiTheme="majorHAnsi" w:cstheme="majorHAnsi"/>
        </w:rPr>
        <w:t xml:space="preserve"> take precedence over any statement in this </w:t>
      </w:r>
      <w:r w:rsidR="002C0DE0" w:rsidRPr="000251C4">
        <w:rPr>
          <w:rFonts w:asciiTheme="majorHAnsi" w:hAnsiTheme="majorHAnsi" w:cstheme="majorHAnsi"/>
        </w:rPr>
        <w:t xml:space="preserve">guide </w:t>
      </w:r>
      <w:r w:rsidR="00FD55A5" w:rsidRPr="000251C4">
        <w:rPr>
          <w:rFonts w:asciiTheme="majorHAnsi" w:hAnsiTheme="majorHAnsi" w:cstheme="majorHAnsi"/>
        </w:rPr>
        <w:t>in the case of conflicting statements.</w:t>
      </w:r>
      <w:r w:rsidR="008707A3" w:rsidRPr="000251C4">
        <w:rPr>
          <w:rFonts w:asciiTheme="majorHAnsi" w:hAnsiTheme="majorHAnsi" w:cstheme="majorHAnsi"/>
        </w:rPr>
        <w:t xml:space="preserve">  This guide is general in nature and any questions or concerns on specific projects, financed facilities, or bond issuances should be directed to </w:t>
      </w:r>
      <w:r w:rsidR="009F35A8" w:rsidRPr="000251C4">
        <w:rPr>
          <w:rFonts w:asciiTheme="majorHAnsi" w:hAnsiTheme="majorHAnsi" w:cstheme="majorHAnsi"/>
        </w:rPr>
        <w:t xml:space="preserve">the Office of </w:t>
      </w:r>
      <w:r w:rsidR="008707A3" w:rsidRPr="000251C4">
        <w:rPr>
          <w:rFonts w:asciiTheme="majorHAnsi" w:hAnsiTheme="majorHAnsi" w:cstheme="majorHAnsi"/>
        </w:rPr>
        <w:t>Treasury which will follow up with internal counsel, external bond counsel, or others as necessary.</w:t>
      </w:r>
    </w:p>
    <w:p w14:paraId="68EAAD68" w14:textId="77777777" w:rsidR="005C3B66" w:rsidRPr="000251C4" w:rsidRDefault="005C3B66" w:rsidP="004C6537">
      <w:pPr>
        <w:rPr>
          <w:rFonts w:asciiTheme="majorHAnsi" w:hAnsiTheme="majorHAnsi" w:cstheme="majorHAnsi"/>
        </w:rPr>
      </w:pPr>
    </w:p>
    <w:p w14:paraId="2EC198F0" w14:textId="7DFCDE57" w:rsidR="00973251" w:rsidRPr="000251C4" w:rsidRDefault="00973251" w:rsidP="004C6537">
      <w:pPr>
        <w:rPr>
          <w:rFonts w:asciiTheme="majorHAnsi" w:hAnsiTheme="majorHAnsi" w:cstheme="majorHAnsi"/>
          <w:b/>
          <w:bCs/>
        </w:rPr>
      </w:pPr>
      <w:r w:rsidRPr="000251C4">
        <w:rPr>
          <w:rFonts w:asciiTheme="majorHAnsi" w:hAnsiTheme="majorHAnsi" w:cstheme="majorHAnsi"/>
          <w:b/>
          <w:bCs/>
        </w:rPr>
        <w:t xml:space="preserve">Private Business Use </w:t>
      </w:r>
    </w:p>
    <w:p w14:paraId="6B4180A1" w14:textId="26FFBD8E" w:rsidR="00620AA7" w:rsidRPr="000251C4" w:rsidRDefault="00E77216" w:rsidP="00973251">
      <w:pPr>
        <w:rPr>
          <w:rFonts w:asciiTheme="majorHAnsi" w:hAnsiTheme="majorHAnsi" w:cstheme="majorHAnsi"/>
        </w:rPr>
      </w:pPr>
      <w:r w:rsidRPr="000251C4">
        <w:rPr>
          <w:rFonts w:asciiTheme="majorHAnsi" w:hAnsiTheme="majorHAnsi" w:cstheme="majorHAnsi"/>
        </w:rPr>
        <w:t>More specifically</w:t>
      </w:r>
      <w:r w:rsidR="005F42F2" w:rsidRPr="000251C4">
        <w:rPr>
          <w:rFonts w:asciiTheme="majorHAnsi" w:hAnsiTheme="majorHAnsi" w:cstheme="majorHAnsi"/>
        </w:rPr>
        <w:t xml:space="preserve"> defined</w:t>
      </w:r>
      <w:r w:rsidRPr="000251C4">
        <w:rPr>
          <w:rFonts w:asciiTheme="majorHAnsi" w:hAnsiTheme="majorHAnsi" w:cstheme="majorHAnsi"/>
        </w:rPr>
        <w:t>, p</w:t>
      </w:r>
      <w:r w:rsidR="00973251" w:rsidRPr="000251C4">
        <w:rPr>
          <w:rFonts w:asciiTheme="majorHAnsi" w:hAnsiTheme="majorHAnsi" w:cstheme="majorHAnsi"/>
        </w:rPr>
        <w:t xml:space="preserve">rivate business use is </w:t>
      </w:r>
      <w:r w:rsidR="001C46B0" w:rsidRPr="000251C4">
        <w:rPr>
          <w:rFonts w:asciiTheme="majorHAnsi" w:hAnsiTheme="majorHAnsi" w:cstheme="majorHAnsi"/>
        </w:rPr>
        <w:t>the</w:t>
      </w:r>
      <w:r w:rsidR="00973251" w:rsidRPr="000251C4">
        <w:rPr>
          <w:rFonts w:asciiTheme="majorHAnsi" w:hAnsiTheme="majorHAnsi" w:cstheme="majorHAnsi"/>
        </w:rPr>
        <w:t xml:space="preserve"> use</w:t>
      </w:r>
      <w:r w:rsidR="00F06B34" w:rsidRPr="000251C4">
        <w:rPr>
          <w:rFonts w:asciiTheme="majorHAnsi" w:hAnsiTheme="majorHAnsi" w:cstheme="majorHAnsi"/>
        </w:rPr>
        <w:t xml:space="preserve"> of </w:t>
      </w:r>
      <w:r w:rsidR="001C46B0" w:rsidRPr="000251C4">
        <w:rPr>
          <w:rFonts w:asciiTheme="majorHAnsi" w:hAnsiTheme="majorHAnsi" w:cstheme="majorHAnsi"/>
        </w:rPr>
        <w:t>a</w:t>
      </w:r>
      <w:r w:rsidR="0068050E" w:rsidRPr="000251C4">
        <w:rPr>
          <w:rFonts w:asciiTheme="majorHAnsi" w:hAnsiTheme="majorHAnsi" w:cstheme="majorHAnsi"/>
        </w:rPr>
        <w:t xml:space="preserve"> financed</w:t>
      </w:r>
      <w:r w:rsidR="00F06B34" w:rsidRPr="000251C4">
        <w:rPr>
          <w:rFonts w:asciiTheme="majorHAnsi" w:hAnsiTheme="majorHAnsi" w:cstheme="majorHAnsi"/>
        </w:rPr>
        <w:t xml:space="preserve"> facility</w:t>
      </w:r>
      <w:r w:rsidR="00973251" w:rsidRPr="000251C4">
        <w:rPr>
          <w:rFonts w:asciiTheme="majorHAnsi" w:hAnsiTheme="majorHAnsi" w:cstheme="majorHAnsi"/>
        </w:rPr>
        <w:t xml:space="preserve"> by or for the benefit of a party other than use by a state or local governmental entity or use as a member of the </w:t>
      </w:r>
      <w:proofErr w:type="gramStart"/>
      <w:r w:rsidR="00973251" w:rsidRPr="000251C4">
        <w:rPr>
          <w:rFonts w:asciiTheme="majorHAnsi" w:hAnsiTheme="majorHAnsi" w:cstheme="majorHAnsi"/>
        </w:rPr>
        <w:t>general public</w:t>
      </w:r>
      <w:proofErr w:type="gramEnd"/>
      <w:r w:rsidR="008707A3" w:rsidRPr="000251C4">
        <w:rPr>
          <w:rFonts w:asciiTheme="majorHAnsi" w:hAnsiTheme="majorHAnsi" w:cstheme="majorHAnsi"/>
        </w:rPr>
        <w:t xml:space="preserve">.  </w:t>
      </w:r>
      <w:r w:rsidR="00244033" w:rsidRPr="000251C4">
        <w:rPr>
          <w:rFonts w:asciiTheme="majorHAnsi" w:hAnsiTheme="majorHAnsi" w:cstheme="majorHAnsi"/>
        </w:rPr>
        <w:t>P</w:t>
      </w:r>
      <w:r w:rsidR="00973251" w:rsidRPr="000251C4">
        <w:rPr>
          <w:rFonts w:asciiTheme="majorHAnsi" w:hAnsiTheme="majorHAnsi" w:cstheme="majorHAnsi"/>
        </w:rPr>
        <w:t>rivate business use can arise from a lease, management contract, sponsored research agreement</w:t>
      </w:r>
      <w:r w:rsidR="00406A3D" w:rsidRPr="000251C4">
        <w:rPr>
          <w:rFonts w:asciiTheme="majorHAnsi" w:hAnsiTheme="majorHAnsi" w:cstheme="majorHAnsi"/>
        </w:rPr>
        <w:t>,</w:t>
      </w:r>
      <w:r w:rsidR="00973251" w:rsidRPr="000251C4">
        <w:rPr>
          <w:rFonts w:asciiTheme="majorHAnsi" w:hAnsiTheme="majorHAnsi" w:cstheme="majorHAnsi"/>
        </w:rPr>
        <w:t xml:space="preserve"> or any other arrangement that gives a private business user special legal entitlements with respect to the use of the financed facility</w:t>
      </w:r>
      <w:r w:rsidR="000523A5">
        <w:rPr>
          <w:rFonts w:asciiTheme="majorHAnsi" w:hAnsiTheme="majorHAnsi" w:cstheme="majorHAnsi"/>
        </w:rPr>
        <w:t xml:space="preserve"> or the use of the bond proceeds</w:t>
      </w:r>
      <w:r w:rsidR="008707A3" w:rsidRPr="000251C4">
        <w:rPr>
          <w:rFonts w:asciiTheme="majorHAnsi" w:hAnsiTheme="majorHAnsi" w:cstheme="majorHAnsi"/>
        </w:rPr>
        <w:t xml:space="preserve">.  </w:t>
      </w:r>
      <w:r w:rsidR="00D74A12" w:rsidRPr="000251C4">
        <w:rPr>
          <w:rFonts w:asciiTheme="majorHAnsi" w:hAnsiTheme="majorHAnsi" w:cstheme="majorHAnsi"/>
        </w:rPr>
        <w:t>This can in</w:t>
      </w:r>
      <w:r w:rsidR="008F06D4" w:rsidRPr="000251C4">
        <w:rPr>
          <w:rFonts w:asciiTheme="majorHAnsi" w:hAnsiTheme="majorHAnsi" w:cstheme="majorHAnsi"/>
        </w:rPr>
        <w:t>clude activities conducted by the federal government</w:t>
      </w:r>
      <w:r w:rsidR="00EF558E" w:rsidRPr="000251C4">
        <w:rPr>
          <w:rFonts w:asciiTheme="majorHAnsi" w:hAnsiTheme="majorHAnsi" w:cstheme="majorHAnsi"/>
        </w:rPr>
        <w:t xml:space="preserve"> as well as nonprofit organizations.</w:t>
      </w:r>
      <w:r w:rsidR="00CF3760" w:rsidRPr="000251C4">
        <w:rPr>
          <w:rFonts w:asciiTheme="majorHAnsi" w:hAnsiTheme="majorHAnsi" w:cstheme="majorHAnsi"/>
        </w:rPr>
        <w:t xml:space="preserve">  </w:t>
      </w:r>
      <w:r w:rsidR="00AF2189" w:rsidRPr="000251C4">
        <w:rPr>
          <w:rFonts w:asciiTheme="majorHAnsi" w:hAnsiTheme="majorHAnsi" w:cstheme="majorHAnsi"/>
        </w:rPr>
        <w:t xml:space="preserve">Priority </w:t>
      </w:r>
      <w:r w:rsidR="0011251C" w:rsidRPr="000251C4">
        <w:rPr>
          <w:rFonts w:asciiTheme="majorHAnsi" w:hAnsiTheme="majorHAnsi" w:cstheme="majorHAnsi"/>
        </w:rPr>
        <w:t xml:space="preserve">use or control agreements and naming rights agreements </w:t>
      </w:r>
      <w:r w:rsidR="00A37D2E" w:rsidRPr="000251C4">
        <w:rPr>
          <w:rFonts w:asciiTheme="majorHAnsi" w:hAnsiTheme="majorHAnsi" w:cstheme="majorHAnsi"/>
        </w:rPr>
        <w:t>also are considered private business use</w:t>
      </w:r>
      <w:r w:rsidR="000523A5">
        <w:rPr>
          <w:rFonts w:asciiTheme="majorHAnsi" w:hAnsiTheme="majorHAnsi" w:cstheme="majorHAnsi"/>
        </w:rPr>
        <w:t xml:space="preserve"> in many cases</w:t>
      </w:r>
      <w:r w:rsidR="00620AA7" w:rsidRPr="000251C4">
        <w:rPr>
          <w:rFonts w:asciiTheme="majorHAnsi" w:hAnsiTheme="majorHAnsi" w:cstheme="majorHAnsi"/>
        </w:rPr>
        <w:t>.</w:t>
      </w:r>
    </w:p>
    <w:p w14:paraId="37211B1C" w14:textId="72CFA20A" w:rsidR="00836EA5" w:rsidRPr="000251C4" w:rsidRDefault="00836EA5" w:rsidP="00973251">
      <w:pPr>
        <w:rPr>
          <w:rFonts w:asciiTheme="majorHAnsi" w:hAnsiTheme="majorHAnsi" w:cstheme="majorHAnsi"/>
        </w:rPr>
      </w:pPr>
      <w:r w:rsidRPr="000251C4">
        <w:rPr>
          <w:rFonts w:asciiTheme="majorHAnsi" w:hAnsiTheme="majorHAnsi" w:cstheme="majorHAnsi"/>
        </w:rPr>
        <w:t xml:space="preserve">The following discusses general </w:t>
      </w:r>
      <w:r w:rsidR="00F677FC" w:rsidRPr="000251C4">
        <w:rPr>
          <w:rFonts w:asciiTheme="majorHAnsi" w:hAnsiTheme="majorHAnsi" w:cstheme="majorHAnsi"/>
        </w:rPr>
        <w:t xml:space="preserve">parameters for private business use </w:t>
      </w:r>
      <w:r w:rsidR="00DA318F" w:rsidRPr="000251C4">
        <w:rPr>
          <w:rFonts w:asciiTheme="majorHAnsi" w:hAnsiTheme="majorHAnsi" w:cstheme="majorHAnsi"/>
        </w:rPr>
        <w:t xml:space="preserve">under some </w:t>
      </w:r>
      <w:r w:rsidR="001A08A9" w:rsidRPr="000251C4">
        <w:rPr>
          <w:rFonts w:asciiTheme="majorHAnsi" w:hAnsiTheme="majorHAnsi" w:cstheme="majorHAnsi"/>
        </w:rPr>
        <w:t xml:space="preserve">common </w:t>
      </w:r>
      <w:r w:rsidR="00DA318F" w:rsidRPr="000251C4">
        <w:rPr>
          <w:rFonts w:asciiTheme="majorHAnsi" w:hAnsiTheme="majorHAnsi" w:cstheme="majorHAnsi"/>
        </w:rPr>
        <w:t>circumstances</w:t>
      </w:r>
      <w:r w:rsidR="006A285A" w:rsidRPr="000251C4">
        <w:rPr>
          <w:rFonts w:asciiTheme="majorHAnsi" w:hAnsiTheme="majorHAnsi" w:cstheme="majorHAnsi"/>
        </w:rPr>
        <w:t xml:space="preserve"> experienced by un</w:t>
      </w:r>
      <w:r w:rsidR="00075F03" w:rsidRPr="000251C4">
        <w:rPr>
          <w:rFonts w:asciiTheme="majorHAnsi" w:hAnsiTheme="majorHAnsi" w:cstheme="majorHAnsi"/>
        </w:rPr>
        <w:t>iversities</w:t>
      </w:r>
      <w:r w:rsidR="00114BE0" w:rsidRPr="000251C4">
        <w:rPr>
          <w:rFonts w:asciiTheme="majorHAnsi" w:hAnsiTheme="majorHAnsi" w:cstheme="majorHAnsi"/>
        </w:rPr>
        <w:t xml:space="preserve">.  See </w:t>
      </w:r>
      <w:r w:rsidR="000523A5">
        <w:rPr>
          <w:rFonts w:asciiTheme="majorHAnsi" w:hAnsiTheme="majorHAnsi" w:cstheme="majorHAnsi"/>
        </w:rPr>
        <w:t>A</w:t>
      </w:r>
      <w:r w:rsidR="00114BE0" w:rsidRPr="000251C4">
        <w:rPr>
          <w:rFonts w:asciiTheme="majorHAnsi" w:hAnsiTheme="majorHAnsi" w:cstheme="majorHAnsi"/>
        </w:rPr>
        <w:t>ppendix A for more detail on exceptions/safe harbors to private business use for these areas.</w:t>
      </w:r>
    </w:p>
    <w:p w14:paraId="4EC9380E" w14:textId="0B65738D" w:rsidR="000E09D7" w:rsidRPr="000251C4" w:rsidRDefault="000E09D7" w:rsidP="00973251">
      <w:pPr>
        <w:rPr>
          <w:rFonts w:asciiTheme="majorHAnsi" w:hAnsiTheme="majorHAnsi" w:cstheme="majorHAnsi"/>
        </w:rPr>
      </w:pPr>
      <w:r w:rsidRPr="000251C4">
        <w:rPr>
          <w:rFonts w:asciiTheme="majorHAnsi" w:hAnsiTheme="majorHAnsi" w:cstheme="majorHAnsi"/>
          <w:u w:val="single"/>
        </w:rPr>
        <w:t>Leased Space</w:t>
      </w:r>
      <w:r w:rsidRPr="000251C4">
        <w:rPr>
          <w:rFonts w:asciiTheme="majorHAnsi" w:hAnsiTheme="majorHAnsi" w:cstheme="majorHAnsi"/>
        </w:rPr>
        <w:t xml:space="preserve"> - The lease of a financed facility by a private business or person generally gives rise to private business use. Common examples include a lease with a private company (or a person for use </w:t>
      </w:r>
      <w:r w:rsidR="00D908A8">
        <w:rPr>
          <w:rFonts w:asciiTheme="majorHAnsi" w:hAnsiTheme="majorHAnsi" w:cstheme="majorHAnsi"/>
        </w:rPr>
        <w:t>in</w:t>
      </w:r>
      <w:r w:rsidRPr="000251C4">
        <w:rPr>
          <w:rFonts w:asciiTheme="majorHAnsi" w:hAnsiTheme="majorHAnsi" w:cstheme="majorHAnsi"/>
        </w:rPr>
        <w:t xml:space="preserve"> a trade or </w:t>
      </w:r>
      <w:r w:rsidRPr="000251C4">
        <w:rPr>
          <w:rFonts w:asciiTheme="majorHAnsi" w:hAnsiTheme="majorHAnsi" w:cstheme="majorHAnsi"/>
        </w:rPr>
        <w:lastRenderedPageBreak/>
        <w:t xml:space="preserve">business) for a retail store within a financed facility, or a lease with a private company for access to laboratory space in a financed facility. Generally, if a lease or other arrangement with respect to a financed facility has a term of use that is greater than 200 days, including all renewal options, then it is considered private business use and not </w:t>
      </w:r>
      <w:proofErr w:type="gramStart"/>
      <w:r w:rsidRPr="000251C4">
        <w:rPr>
          <w:rFonts w:asciiTheme="majorHAnsi" w:hAnsiTheme="majorHAnsi" w:cstheme="majorHAnsi"/>
        </w:rPr>
        <w:t>general public</w:t>
      </w:r>
      <w:proofErr w:type="gramEnd"/>
      <w:r w:rsidRPr="000251C4">
        <w:rPr>
          <w:rFonts w:asciiTheme="majorHAnsi" w:hAnsiTheme="majorHAnsi" w:cstheme="majorHAnsi"/>
        </w:rPr>
        <w:t xml:space="preserve"> use. Certain arrangements with terms of less than 200 days that do not otherwise convey priority rights or other preferential benefits may constitute </w:t>
      </w:r>
      <w:proofErr w:type="gramStart"/>
      <w:r w:rsidRPr="000251C4">
        <w:rPr>
          <w:rFonts w:asciiTheme="majorHAnsi" w:hAnsiTheme="majorHAnsi" w:cstheme="majorHAnsi"/>
        </w:rPr>
        <w:t>general public</w:t>
      </w:r>
      <w:proofErr w:type="gramEnd"/>
      <w:r w:rsidRPr="000251C4">
        <w:rPr>
          <w:rFonts w:asciiTheme="majorHAnsi" w:hAnsiTheme="majorHAnsi" w:cstheme="majorHAnsi"/>
        </w:rPr>
        <w:t xml:space="preserve"> use</w:t>
      </w:r>
      <w:r w:rsidR="00CE308A" w:rsidRPr="000251C4">
        <w:rPr>
          <w:rFonts w:asciiTheme="majorHAnsi" w:hAnsiTheme="majorHAnsi" w:cstheme="majorHAnsi"/>
        </w:rPr>
        <w:t xml:space="preserve">, so long as the facility was not financed for the principal purpose of </w:t>
      </w:r>
      <w:proofErr w:type="gramStart"/>
      <w:r w:rsidR="00CE308A" w:rsidRPr="000251C4">
        <w:rPr>
          <w:rFonts w:asciiTheme="majorHAnsi" w:hAnsiTheme="majorHAnsi" w:cstheme="majorHAnsi"/>
        </w:rPr>
        <w:t>the private</w:t>
      </w:r>
      <w:proofErr w:type="gramEnd"/>
      <w:r w:rsidR="00CE308A" w:rsidRPr="000251C4">
        <w:rPr>
          <w:rFonts w:asciiTheme="majorHAnsi" w:hAnsiTheme="majorHAnsi" w:cstheme="majorHAnsi"/>
        </w:rPr>
        <w:t xml:space="preserve"> trade or business use</w:t>
      </w:r>
      <w:r w:rsidRPr="000251C4">
        <w:rPr>
          <w:rFonts w:asciiTheme="majorHAnsi" w:hAnsiTheme="majorHAnsi" w:cstheme="majorHAnsi"/>
        </w:rPr>
        <w:t xml:space="preserve">. </w:t>
      </w:r>
      <w:r w:rsidR="00EA58C1" w:rsidRPr="000251C4">
        <w:rPr>
          <w:rFonts w:asciiTheme="majorHAnsi" w:hAnsiTheme="majorHAnsi" w:cstheme="majorHAnsi"/>
        </w:rPr>
        <w:t xml:space="preserve"> </w:t>
      </w:r>
    </w:p>
    <w:p w14:paraId="560C0844" w14:textId="68F057A0" w:rsidR="00B375F5" w:rsidRPr="000251C4" w:rsidRDefault="00B375F5" w:rsidP="00973251">
      <w:pPr>
        <w:rPr>
          <w:rFonts w:asciiTheme="majorHAnsi" w:hAnsiTheme="majorHAnsi" w:cstheme="majorHAnsi"/>
        </w:rPr>
      </w:pPr>
      <w:r w:rsidRPr="000251C4">
        <w:rPr>
          <w:rFonts w:asciiTheme="majorHAnsi" w:hAnsiTheme="majorHAnsi" w:cstheme="majorHAnsi"/>
          <w:u w:val="single"/>
        </w:rPr>
        <w:t>Management Contracts</w:t>
      </w:r>
      <w:r w:rsidRPr="000251C4">
        <w:rPr>
          <w:rFonts w:asciiTheme="majorHAnsi" w:hAnsiTheme="majorHAnsi" w:cstheme="majorHAnsi"/>
        </w:rPr>
        <w:t xml:space="preserve"> - A private management or service contract (“Management Contract”) with respect to </w:t>
      </w:r>
      <w:r w:rsidR="00D908A8">
        <w:rPr>
          <w:rFonts w:asciiTheme="majorHAnsi" w:hAnsiTheme="majorHAnsi" w:cstheme="majorHAnsi"/>
        </w:rPr>
        <w:t>bond-</w:t>
      </w:r>
      <w:r w:rsidRPr="000251C4">
        <w:rPr>
          <w:rFonts w:asciiTheme="majorHAnsi" w:hAnsiTheme="majorHAnsi" w:cstheme="majorHAnsi"/>
        </w:rPr>
        <w:t>financed property generally results in private business use of the property if (i) the contract gives the service provider an ownership or leasehold interest in the financed facility (or an interest in the nature of an ownership or leasehold interest), or (ii) the contract provides for compensation for services based, in whole or in part, on a share of net profits from the operation of the financed facility.</w:t>
      </w:r>
      <w:r w:rsidR="00FA72C1" w:rsidRPr="000251C4">
        <w:rPr>
          <w:rFonts w:asciiTheme="majorHAnsi" w:hAnsiTheme="majorHAnsi" w:cstheme="majorHAnsi"/>
        </w:rPr>
        <w:t xml:space="preserve">  </w:t>
      </w:r>
    </w:p>
    <w:p w14:paraId="31EE8744" w14:textId="070540B4" w:rsidR="00250455" w:rsidRPr="000251C4" w:rsidRDefault="00250455" w:rsidP="00973251">
      <w:pPr>
        <w:rPr>
          <w:rFonts w:asciiTheme="majorHAnsi" w:hAnsiTheme="majorHAnsi" w:cstheme="majorHAnsi"/>
        </w:rPr>
      </w:pPr>
      <w:r w:rsidRPr="000251C4">
        <w:rPr>
          <w:rFonts w:asciiTheme="majorHAnsi" w:hAnsiTheme="majorHAnsi" w:cstheme="majorHAnsi"/>
          <w:u w:val="single"/>
        </w:rPr>
        <w:t>Research Agreements</w:t>
      </w:r>
      <w:r w:rsidRPr="000251C4">
        <w:rPr>
          <w:rFonts w:asciiTheme="majorHAnsi" w:hAnsiTheme="majorHAnsi" w:cstheme="majorHAnsi"/>
        </w:rPr>
        <w:t xml:space="preserve"> - The University frequently enters into research agreements with the federal government, corporations, and other entities. Depending on the nature of the agreement, identity of the sponsor, and other factors, these agreements may give rise to private business use.  Generally, research agreements are evaluated based on a “facts and circumstances” basis to determine whether the agreement gives rise to private business use.  Applied research sponsored by the federal government or a private business entity generally results in private business use.</w:t>
      </w:r>
      <w:r w:rsidR="00836EA5" w:rsidRPr="000251C4">
        <w:rPr>
          <w:rFonts w:asciiTheme="majorHAnsi" w:hAnsiTheme="majorHAnsi" w:cstheme="majorHAnsi"/>
        </w:rPr>
        <w:t xml:space="preserve">  </w:t>
      </w:r>
    </w:p>
    <w:p w14:paraId="673106EE" w14:textId="6A5AEAAD" w:rsidR="009A08A5" w:rsidRDefault="0026076B" w:rsidP="00973251">
      <w:pPr>
        <w:rPr>
          <w:rFonts w:asciiTheme="majorHAnsi" w:hAnsiTheme="majorHAnsi" w:cstheme="majorHAnsi"/>
        </w:rPr>
      </w:pPr>
      <w:r w:rsidRPr="000251C4">
        <w:rPr>
          <w:rFonts w:asciiTheme="majorHAnsi" w:hAnsiTheme="majorHAnsi" w:cstheme="majorHAnsi"/>
          <w:u w:val="single"/>
        </w:rPr>
        <w:t>Clinical Trials</w:t>
      </w:r>
      <w:r w:rsidRPr="000251C4">
        <w:rPr>
          <w:rFonts w:asciiTheme="majorHAnsi" w:hAnsiTheme="majorHAnsi" w:cstheme="majorHAnsi"/>
        </w:rPr>
        <w:t xml:space="preserve"> - Clinical trials are typically conducted in furtherance of patient care or to validate products, and the possibility of invention is remote. Therefore, clinical trial arrangements are generally not considered "research" activities and are not analyzed under the research contract safe harbors. Clinical trials may still pose private business use concerns if they are not related to the University’s governmental purposes (e.g., education or furthering patient care).</w:t>
      </w:r>
    </w:p>
    <w:p w14:paraId="7206A065" w14:textId="5ED2E542" w:rsidR="00FE0280" w:rsidRPr="00CC05AF" w:rsidRDefault="00FE0280" w:rsidP="00973251">
      <w:pPr>
        <w:rPr>
          <w:rFonts w:asciiTheme="majorHAnsi" w:hAnsiTheme="majorHAnsi" w:cstheme="majorHAnsi"/>
        </w:rPr>
      </w:pPr>
      <w:r w:rsidRPr="00FE0280">
        <w:rPr>
          <w:rFonts w:asciiTheme="majorHAnsi" w:hAnsiTheme="majorHAnsi" w:cstheme="majorHAnsi"/>
          <w:u w:val="single"/>
        </w:rPr>
        <w:t>Output Contracts</w:t>
      </w:r>
      <w:r w:rsidR="00E05060">
        <w:rPr>
          <w:rFonts w:asciiTheme="majorHAnsi" w:hAnsiTheme="majorHAnsi" w:cstheme="majorHAnsi"/>
        </w:rPr>
        <w:t xml:space="preserve"> </w:t>
      </w:r>
      <w:r w:rsidR="00E05060" w:rsidRPr="00CC05AF">
        <w:rPr>
          <w:rFonts w:asciiTheme="majorHAnsi" w:hAnsiTheme="majorHAnsi" w:cstheme="majorHAnsi"/>
        </w:rPr>
        <w:t xml:space="preserve">- </w:t>
      </w:r>
      <w:r w:rsidR="00CC05AF" w:rsidRPr="00CC05AF">
        <w:rPr>
          <w:rFonts w:asciiTheme="majorHAnsi" w:hAnsiTheme="majorHAnsi" w:cstheme="majorHAnsi"/>
        </w:rPr>
        <w:t>An output contract is a</w:t>
      </w:r>
      <w:r w:rsidR="002350B9">
        <w:rPr>
          <w:rFonts w:asciiTheme="majorHAnsi" w:hAnsiTheme="majorHAnsi" w:cstheme="majorHAnsi"/>
        </w:rPr>
        <w:t>n</w:t>
      </w:r>
      <w:r w:rsidR="00CC05AF" w:rsidRPr="00CC05AF">
        <w:rPr>
          <w:rFonts w:asciiTheme="majorHAnsi" w:hAnsiTheme="majorHAnsi" w:cstheme="majorHAnsi"/>
        </w:rPr>
        <w:t xml:space="preserve"> </w:t>
      </w:r>
      <w:r w:rsidR="002350B9">
        <w:rPr>
          <w:rFonts w:asciiTheme="majorHAnsi" w:hAnsiTheme="majorHAnsi" w:cstheme="majorHAnsi"/>
        </w:rPr>
        <w:t>a</w:t>
      </w:r>
      <w:r w:rsidR="00CC05AF" w:rsidRPr="00CC05AF">
        <w:rPr>
          <w:rFonts w:asciiTheme="majorHAnsi" w:hAnsiTheme="majorHAnsi" w:cstheme="majorHAnsi"/>
        </w:rPr>
        <w:t xml:space="preserve">greement between a producer and a buyer where the producer agrees to sell all or a specified amount of its products to the buyer at a predetermined price. Unlike other contracts where the terms are usually set in advance, output contracts rely on future production levels, which are not always known or easily predictable. </w:t>
      </w:r>
      <w:r w:rsidR="00831FC2">
        <w:rPr>
          <w:rFonts w:asciiTheme="majorHAnsi" w:hAnsiTheme="majorHAnsi" w:cstheme="majorHAnsi"/>
        </w:rPr>
        <w:t>O</w:t>
      </w:r>
      <w:r w:rsidR="00CC05AF" w:rsidRPr="00CC05AF">
        <w:rPr>
          <w:rFonts w:asciiTheme="majorHAnsi" w:hAnsiTheme="majorHAnsi" w:cstheme="majorHAnsi"/>
        </w:rPr>
        <w:t>utput contract</w:t>
      </w:r>
      <w:r w:rsidR="00831FC2">
        <w:rPr>
          <w:rFonts w:asciiTheme="majorHAnsi" w:hAnsiTheme="majorHAnsi" w:cstheme="majorHAnsi"/>
        </w:rPr>
        <w:t>s are</w:t>
      </w:r>
      <w:r w:rsidR="00CC05AF" w:rsidRPr="00CC05AF">
        <w:rPr>
          <w:rFonts w:asciiTheme="majorHAnsi" w:hAnsiTheme="majorHAnsi" w:cstheme="majorHAnsi"/>
        </w:rPr>
        <w:t xml:space="preserve"> a popular tool used in commodity trading</w:t>
      </w:r>
      <w:r w:rsidR="00C45BF2">
        <w:rPr>
          <w:rFonts w:asciiTheme="majorHAnsi" w:hAnsiTheme="majorHAnsi" w:cstheme="majorHAnsi"/>
        </w:rPr>
        <w:t xml:space="preserve"> (agricultural products)</w:t>
      </w:r>
      <w:r w:rsidR="00D51C68">
        <w:rPr>
          <w:rFonts w:asciiTheme="majorHAnsi" w:hAnsiTheme="majorHAnsi" w:cstheme="majorHAnsi"/>
        </w:rPr>
        <w:t>, manufacturing, and</w:t>
      </w:r>
      <w:r w:rsidR="007E65EB">
        <w:rPr>
          <w:rFonts w:asciiTheme="majorHAnsi" w:hAnsiTheme="majorHAnsi" w:cstheme="majorHAnsi"/>
        </w:rPr>
        <w:t xml:space="preserve"> </w:t>
      </w:r>
      <w:r w:rsidR="00D51C68">
        <w:rPr>
          <w:rFonts w:asciiTheme="majorHAnsi" w:hAnsiTheme="majorHAnsi" w:cstheme="majorHAnsi"/>
        </w:rPr>
        <w:t>e</w:t>
      </w:r>
      <w:r w:rsidR="00995B82">
        <w:rPr>
          <w:rFonts w:asciiTheme="majorHAnsi" w:hAnsiTheme="majorHAnsi" w:cstheme="majorHAnsi"/>
        </w:rPr>
        <w:t xml:space="preserve">nergy industries.  </w:t>
      </w:r>
      <w:r w:rsidR="00824CFC">
        <w:rPr>
          <w:rFonts w:asciiTheme="majorHAnsi" w:hAnsiTheme="majorHAnsi" w:cstheme="majorHAnsi"/>
        </w:rPr>
        <w:t xml:space="preserve">Water </w:t>
      </w:r>
      <w:r w:rsidR="00831699">
        <w:rPr>
          <w:rFonts w:asciiTheme="majorHAnsi" w:hAnsiTheme="majorHAnsi" w:cstheme="majorHAnsi"/>
        </w:rPr>
        <w:t xml:space="preserve">facilities are also </w:t>
      </w:r>
      <w:r w:rsidR="00494CB6">
        <w:rPr>
          <w:rFonts w:asciiTheme="majorHAnsi" w:hAnsiTheme="majorHAnsi" w:cstheme="majorHAnsi"/>
        </w:rPr>
        <w:t>included as a type of output facility.</w:t>
      </w:r>
    </w:p>
    <w:p w14:paraId="714EA7E4" w14:textId="08E52CCF" w:rsidR="00E249C1" w:rsidRPr="000251C4" w:rsidRDefault="00911EAC" w:rsidP="00973251">
      <w:pPr>
        <w:rPr>
          <w:rFonts w:asciiTheme="majorHAnsi" w:hAnsiTheme="majorHAnsi" w:cstheme="majorHAnsi"/>
        </w:rPr>
      </w:pPr>
      <w:r w:rsidRPr="000251C4">
        <w:rPr>
          <w:rFonts w:asciiTheme="majorHAnsi" w:hAnsiTheme="majorHAnsi" w:cstheme="majorHAnsi"/>
          <w:u w:val="single"/>
        </w:rPr>
        <w:t>Special Legal Entitlements</w:t>
      </w:r>
      <w:r w:rsidRPr="000251C4">
        <w:rPr>
          <w:rFonts w:asciiTheme="majorHAnsi" w:hAnsiTheme="majorHAnsi" w:cstheme="majorHAnsi"/>
        </w:rPr>
        <w:t xml:space="preserve"> - Arrangements that convey “special legal entitlements” to a non-governmental person for beneficial use of a financed facility may result in private business use. </w:t>
      </w:r>
      <w:r w:rsidR="000C53D2" w:rsidRPr="000251C4">
        <w:rPr>
          <w:rFonts w:asciiTheme="majorHAnsi" w:hAnsiTheme="majorHAnsi" w:cstheme="majorHAnsi"/>
        </w:rPr>
        <w:t>Two c</w:t>
      </w:r>
      <w:r w:rsidRPr="000251C4">
        <w:rPr>
          <w:rFonts w:asciiTheme="majorHAnsi" w:hAnsiTheme="majorHAnsi" w:cstheme="majorHAnsi"/>
        </w:rPr>
        <w:t>ommon examples of special legal entitlements include priority rights for use of a financed facility and control rights with respect to a financed facility (which may be combined with naming rights).</w:t>
      </w:r>
    </w:p>
    <w:p w14:paraId="5CCFE60D" w14:textId="77777777" w:rsidR="00911EAC" w:rsidRPr="000251C4" w:rsidRDefault="00911EAC" w:rsidP="00973251">
      <w:pPr>
        <w:rPr>
          <w:rFonts w:asciiTheme="majorHAnsi" w:hAnsiTheme="majorHAnsi" w:cstheme="majorHAnsi"/>
        </w:rPr>
      </w:pPr>
    </w:p>
    <w:p w14:paraId="6CCFABCD" w14:textId="77777777" w:rsidR="00240236" w:rsidRPr="000251C4" w:rsidRDefault="007E2BE1" w:rsidP="00973251">
      <w:pPr>
        <w:rPr>
          <w:rFonts w:asciiTheme="majorHAnsi" w:hAnsiTheme="majorHAnsi" w:cstheme="majorHAnsi"/>
          <w:b/>
          <w:bCs/>
        </w:rPr>
      </w:pPr>
      <w:r w:rsidRPr="000251C4">
        <w:rPr>
          <w:rFonts w:asciiTheme="majorHAnsi" w:hAnsiTheme="majorHAnsi" w:cstheme="majorHAnsi"/>
          <w:b/>
          <w:bCs/>
        </w:rPr>
        <w:t>Measuring Private Business Use</w:t>
      </w:r>
    </w:p>
    <w:p w14:paraId="7E8CE16D" w14:textId="729037B1" w:rsidR="007E2BE1" w:rsidRPr="000251C4" w:rsidRDefault="007E2BE1" w:rsidP="00973251">
      <w:pPr>
        <w:rPr>
          <w:rFonts w:asciiTheme="majorHAnsi" w:hAnsiTheme="majorHAnsi" w:cstheme="majorHAnsi"/>
        </w:rPr>
      </w:pPr>
      <w:r w:rsidRPr="000251C4">
        <w:rPr>
          <w:rFonts w:asciiTheme="majorHAnsi" w:hAnsiTheme="majorHAnsi" w:cstheme="majorHAnsi"/>
        </w:rPr>
        <w:t xml:space="preserve">Private business use generally is measured </w:t>
      </w:r>
      <w:r w:rsidR="004B3DA2">
        <w:rPr>
          <w:rFonts w:asciiTheme="majorHAnsi" w:hAnsiTheme="majorHAnsi" w:cstheme="majorHAnsi"/>
        </w:rPr>
        <w:t xml:space="preserve">on a per bond-issue basis over the term of the bonds </w:t>
      </w:r>
      <w:r w:rsidRPr="000251C4">
        <w:rPr>
          <w:rFonts w:asciiTheme="majorHAnsi" w:hAnsiTheme="majorHAnsi" w:cstheme="majorHAnsi"/>
        </w:rPr>
        <w:t>by determining how much space in a financed facility</w:t>
      </w:r>
      <w:r w:rsidR="004B3DA2">
        <w:rPr>
          <w:rFonts w:asciiTheme="majorHAnsi" w:hAnsiTheme="majorHAnsi" w:cstheme="majorHAnsi"/>
        </w:rPr>
        <w:t xml:space="preserve"> (that is, the portion of the facility financed by the proceeds of tax-exempt bonds)</w:t>
      </w:r>
      <w:r w:rsidRPr="000251C4">
        <w:rPr>
          <w:rFonts w:asciiTheme="majorHAnsi" w:hAnsiTheme="majorHAnsi" w:cstheme="majorHAnsi"/>
        </w:rPr>
        <w:t xml:space="preserve"> is used for a private business use and determining the percentage of the total time the financed facility is used for a private business use</w:t>
      </w:r>
      <w:r w:rsidR="008707A3" w:rsidRPr="000251C4">
        <w:rPr>
          <w:rFonts w:asciiTheme="majorHAnsi" w:hAnsiTheme="majorHAnsi" w:cstheme="majorHAnsi"/>
        </w:rPr>
        <w:t xml:space="preserve">.  </w:t>
      </w:r>
      <w:r w:rsidRPr="000251C4">
        <w:rPr>
          <w:rFonts w:asciiTheme="majorHAnsi" w:hAnsiTheme="majorHAnsi" w:cstheme="majorHAnsi"/>
        </w:rPr>
        <w:t xml:space="preserve">This is referred to as </w:t>
      </w:r>
      <w:proofErr w:type="gramStart"/>
      <w:r w:rsidRPr="000251C4">
        <w:rPr>
          <w:rFonts w:asciiTheme="majorHAnsi" w:hAnsiTheme="majorHAnsi" w:cstheme="majorHAnsi"/>
        </w:rPr>
        <w:t>a "</w:t>
      </w:r>
      <w:proofErr w:type="gramEnd"/>
      <w:r w:rsidRPr="000251C4">
        <w:rPr>
          <w:rFonts w:asciiTheme="majorHAnsi" w:hAnsiTheme="majorHAnsi" w:cstheme="majorHAnsi"/>
        </w:rPr>
        <w:t xml:space="preserve">time and space </w:t>
      </w:r>
      <w:r w:rsidRPr="000251C4">
        <w:rPr>
          <w:rFonts w:asciiTheme="majorHAnsi" w:hAnsiTheme="majorHAnsi" w:cstheme="majorHAnsi"/>
        </w:rPr>
        <w:lastRenderedPageBreak/>
        <w:t xml:space="preserve">analysis." For example, if a bond financed facility costs $100 to build and 20% of the facility is used for private business use 25% of the time, then five percent of the proceeds of the bonds will be treated as used for </w:t>
      </w:r>
      <w:proofErr w:type="gramStart"/>
      <w:r w:rsidRPr="000251C4">
        <w:rPr>
          <w:rFonts w:asciiTheme="majorHAnsi" w:hAnsiTheme="majorHAnsi" w:cstheme="majorHAnsi"/>
        </w:rPr>
        <w:t>a private</w:t>
      </w:r>
      <w:proofErr w:type="gramEnd"/>
      <w:r w:rsidRPr="000251C4">
        <w:rPr>
          <w:rFonts w:asciiTheme="majorHAnsi" w:hAnsiTheme="majorHAnsi" w:cstheme="majorHAnsi"/>
        </w:rPr>
        <w:t xml:space="preserve"> business use ($100 x 20% x 25%)</w:t>
      </w:r>
      <w:r w:rsidR="008707A3" w:rsidRPr="000251C4">
        <w:rPr>
          <w:rFonts w:asciiTheme="majorHAnsi" w:hAnsiTheme="majorHAnsi" w:cstheme="majorHAnsi"/>
        </w:rPr>
        <w:t xml:space="preserve">.  </w:t>
      </w:r>
      <w:proofErr w:type="gramStart"/>
      <w:r w:rsidRPr="000251C4">
        <w:rPr>
          <w:rFonts w:asciiTheme="majorHAnsi" w:hAnsiTheme="majorHAnsi" w:cstheme="majorHAnsi"/>
        </w:rPr>
        <w:t>Generally speaking, the</w:t>
      </w:r>
      <w:proofErr w:type="gramEnd"/>
      <w:r w:rsidRPr="000251C4">
        <w:rPr>
          <w:rFonts w:asciiTheme="majorHAnsi" w:hAnsiTheme="majorHAnsi" w:cstheme="majorHAnsi"/>
        </w:rPr>
        <w:t xml:space="preserve"> percentage of space methodology estimates the percentage of private business use based on assignable square feet</w:t>
      </w:r>
      <w:r w:rsidR="008707A3" w:rsidRPr="000251C4">
        <w:rPr>
          <w:rFonts w:asciiTheme="majorHAnsi" w:hAnsiTheme="majorHAnsi" w:cstheme="majorHAnsi"/>
        </w:rPr>
        <w:t xml:space="preserve">.  </w:t>
      </w:r>
      <w:r w:rsidRPr="000251C4">
        <w:rPr>
          <w:rFonts w:asciiTheme="majorHAnsi" w:hAnsiTheme="majorHAnsi" w:cstheme="majorHAnsi"/>
        </w:rPr>
        <w:t>When space is used simultaneously for both governmental and private purposes, another approach is to measure private business use based on a percentage of revenue generated by the financed facility</w:t>
      </w:r>
      <w:r w:rsidR="008707A3" w:rsidRPr="000251C4">
        <w:rPr>
          <w:rFonts w:asciiTheme="majorHAnsi" w:hAnsiTheme="majorHAnsi" w:cstheme="majorHAnsi"/>
        </w:rPr>
        <w:t xml:space="preserve">.  </w:t>
      </w:r>
      <w:r w:rsidRPr="000251C4">
        <w:rPr>
          <w:rFonts w:asciiTheme="majorHAnsi" w:hAnsiTheme="majorHAnsi" w:cstheme="majorHAnsi"/>
        </w:rPr>
        <w:t xml:space="preserve">In some cases, it may be preferable to measure private business use by using a combined space and revenue analysis, which is </w:t>
      </w:r>
      <w:proofErr w:type="gramStart"/>
      <w:r w:rsidRPr="000251C4">
        <w:rPr>
          <w:rFonts w:asciiTheme="majorHAnsi" w:hAnsiTheme="majorHAnsi" w:cstheme="majorHAnsi"/>
        </w:rPr>
        <w:t>most commonly done</w:t>
      </w:r>
      <w:proofErr w:type="gramEnd"/>
      <w:r w:rsidRPr="000251C4">
        <w:rPr>
          <w:rFonts w:asciiTheme="majorHAnsi" w:hAnsiTheme="majorHAnsi" w:cstheme="majorHAnsi"/>
        </w:rPr>
        <w:t xml:space="preserve"> for facilities with research agreements.</w:t>
      </w:r>
    </w:p>
    <w:p w14:paraId="067BB227" w14:textId="77777777" w:rsidR="001B7B96" w:rsidRPr="000251C4" w:rsidRDefault="00EF4955" w:rsidP="007911A4">
      <w:pPr>
        <w:rPr>
          <w:rFonts w:asciiTheme="majorHAnsi" w:hAnsiTheme="majorHAnsi" w:cstheme="majorHAnsi"/>
        </w:rPr>
      </w:pPr>
      <w:r w:rsidRPr="000251C4">
        <w:rPr>
          <w:rFonts w:asciiTheme="majorHAnsi" w:hAnsiTheme="majorHAnsi" w:cstheme="majorHAnsi"/>
          <w:u w:val="single"/>
        </w:rPr>
        <w:t>Limits</w:t>
      </w:r>
      <w:r w:rsidR="001148C0" w:rsidRPr="000251C4">
        <w:rPr>
          <w:rFonts w:asciiTheme="majorHAnsi" w:hAnsiTheme="majorHAnsi" w:cstheme="majorHAnsi"/>
          <w:u w:val="single"/>
        </w:rPr>
        <w:t xml:space="preserve"> on Private Business Use</w:t>
      </w:r>
      <w:r w:rsidR="001148C0" w:rsidRPr="000251C4">
        <w:rPr>
          <w:rFonts w:asciiTheme="majorHAnsi" w:hAnsiTheme="majorHAnsi" w:cstheme="majorHAnsi"/>
        </w:rPr>
        <w:t xml:space="preserve"> - </w:t>
      </w:r>
      <w:r w:rsidR="00271A59" w:rsidRPr="000251C4">
        <w:rPr>
          <w:rFonts w:asciiTheme="majorHAnsi" w:hAnsiTheme="majorHAnsi" w:cstheme="majorHAnsi"/>
        </w:rPr>
        <w:t>Excessive private business use can result in significant monetary penalties from the IRS, reclassification of the issued bonds to taxable with negative impacts to bond investors, inability to issue new tax-exempt debt, and general loss of investor confidence in the University causing higher rates than otherwise required on any future debt issuances whether taxable or tax-exempt in nature.</w:t>
      </w:r>
    </w:p>
    <w:p w14:paraId="71219895" w14:textId="53129480" w:rsidR="007911A4" w:rsidRPr="000251C4" w:rsidRDefault="007911A4" w:rsidP="007911A4">
      <w:pPr>
        <w:rPr>
          <w:rFonts w:asciiTheme="majorHAnsi" w:hAnsiTheme="majorHAnsi" w:cstheme="majorHAnsi"/>
        </w:rPr>
      </w:pPr>
      <w:r w:rsidRPr="000251C4">
        <w:rPr>
          <w:rFonts w:asciiTheme="majorHAnsi" w:hAnsiTheme="majorHAnsi" w:cstheme="majorHAnsi"/>
        </w:rPr>
        <w:t>Bonds issued as tax-exempt governmental bonds</w:t>
      </w:r>
      <w:r w:rsidR="00E42E0E" w:rsidRPr="000251C4">
        <w:rPr>
          <w:rFonts w:asciiTheme="majorHAnsi" w:hAnsiTheme="majorHAnsi" w:cstheme="majorHAnsi"/>
        </w:rPr>
        <w:t xml:space="preserve"> (</w:t>
      </w:r>
      <w:r w:rsidR="002D7820">
        <w:rPr>
          <w:rFonts w:asciiTheme="majorHAnsi" w:hAnsiTheme="majorHAnsi" w:cstheme="majorHAnsi"/>
        </w:rPr>
        <w:t xml:space="preserve">the </w:t>
      </w:r>
      <w:r w:rsidR="00E42E0E" w:rsidRPr="000251C4">
        <w:rPr>
          <w:rFonts w:asciiTheme="majorHAnsi" w:hAnsiTheme="majorHAnsi" w:cstheme="majorHAnsi"/>
        </w:rPr>
        <w:t>type issued by the University)</w:t>
      </w:r>
      <w:r w:rsidRPr="000251C4">
        <w:rPr>
          <w:rFonts w:asciiTheme="majorHAnsi" w:hAnsiTheme="majorHAnsi" w:cstheme="majorHAnsi"/>
        </w:rPr>
        <w:t xml:space="preserve"> will lose their tax advantaged status and therefore become “private activity bonds” if (1) more than 10% of bond proceeds are used for a "private business use" and (2) more than 10% of the debt service on the bonds is directly or indirectly payable from or secured by property used in a private business. The 10% threshold drops to five percent (5%) if the private business use of the proceeds is unrelated to or disproportionate to the governmental use of the proceeds, however this is rarely a concern for </w:t>
      </w:r>
      <w:proofErr w:type="gramStart"/>
      <w:r w:rsidRPr="000251C4">
        <w:rPr>
          <w:rFonts w:asciiTheme="majorHAnsi" w:hAnsiTheme="majorHAnsi" w:cstheme="majorHAnsi"/>
        </w:rPr>
        <w:t>University</w:t>
      </w:r>
      <w:proofErr w:type="gramEnd"/>
      <w:r w:rsidRPr="000251C4">
        <w:rPr>
          <w:rFonts w:asciiTheme="majorHAnsi" w:hAnsiTheme="majorHAnsi" w:cstheme="majorHAnsi"/>
        </w:rPr>
        <w:t xml:space="preserve"> financed facilities. It should be noted that the standard limit of 10% drops to 5% for 501(c)(3) organizations such as nonprofit hospital</w:t>
      </w:r>
      <w:r w:rsidR="00B0645A">
        <w:rPr>
          <w:rFonts w:asciiTheme="majorHAnsi" w:hAnsiTheme="majorHAnsi" w:cstheme="majorHAnsi"/>
        </w:rPr>
        <w:t>s</w:t>
      </w:r>
      <w:r w:rsidRPr="000251C4">
        <w:rPr>
          <w:rFonts w:asciiTheme="majorHAnsi" w:hAnsiTheme="majorHAnsi" w:cstheme="majorHAnsi"/>
        </w:rPr>
        <w:t>.  Also, for bond issues above $150 million, the amount of private business use is effectively capped at $15 million per issue.</w:t>
      </w:r>
    </w:p>
    <w:p w14:paraId="5DA631A4" w14:textId="1BE0EC2B" w:rsidR="000C370C" w:rsidRPr="000251C4" w:rsidRDefault="000C370C" w:rsidP="002E287E">
      <w:pPr>
        <w:rPr>
          <w:rFonts w:asciiTheme="majorHAnsi" w:hAnsiTheme="majorHAnsi" w:cstheme="majorHAnsi"/>
        </w:rPr>
      </w:pPr>
      <w:r w:rsidRPr="000251C4">
        <w:rPr>
          <w:rFonts w:asciiTheme="majorHAnsi" w:hAnsiTheme="majorHAnsi" w:cstheme="majorHAnsi"/>
        </w:rPr>
        <w:t xml:space="preserve">To the extent that University buildings are financed </w:t>
      </w:r>
      <w:r w:rsidR="002D7820">
        <w:rPr>
          <w:rFonts w:asciiTheme="majorHAnsi" w:hAnsiTheme="majorHAnsi" w:cstheme="majorHAnsi"/>
        </w:rPr>
        <w:t xml:space="preserve">both </w:t>
      </w:r>
      <w:r w:rsidRPr="000251C4">
        <w:rPr>
          <w:rFonts w:asciiTheme="majorHAnsi" w:hAnsiTheme="majorHAnsi" w:cstheme="majorHAnsi"/>
        </w:rPr>
        <w:t xml:space="preserve">with </w:t>
      </w:r>
      <w:r w:rsidR="003F7620" w:rsidRPr="000251C4">
        <w:rPr>
          <w:rFonts w:asciiTheme="majorHAnsi" w:hAnsiTheme="majorHAnsi" w:cstheme="majorHAnsi"/>
        </w:rPr>
        <w:t xml:space="preserve">tax-exempt </w:t>
      </w:r>
      <w:r w:rsidRPr="000251C4">
        <w:rPr>
          <w:rFonts w:asciiTheme="majorHAnsi" w:hAnsiTheme="majorHAnsi" w:cstheme="majorHAnsi"/>
        </w:rPr>
        <w:t>bonds and “qualified equity” (</w:t>
      </w:r>
      <w:r w:rsidR="002D7820">
        <w:rPr>
          <w:rFonts w:asciiTheme="majorHAnsi" w:hAnsiTheme="majorHAnsi" w:cstheme="majorHAnsi"/>
        </w:rPr>
        <w:t xml:space="preserve">meaning other funding sources </w:t>
      </w:r>
      <w:r w:rsidRPr="000251C4">
        <w:rPr>
          <w:rFonts w:asciiTheme="majorHAnsi" w:hAnsiTheme="majorHAnsi" w:cstheme="majorHAnsi"/>
        </w:rPr>
        <w:t>commonly resulting from gifts, University contributions, or taxable bond proceeds), the qualified equity can typically be used to reduce the total amount of private business use allocable to the bonds and allow for additional flexibility for use of the financed facility</w:t>
      </w:r>
      <w:r w:rsidR="00950B3C" w:rsidRPr="000251C4">
        <w:rPr>
          <w:rFonts w:asciiTheme="majorHAnsi" w:hAnsiTheme="majorHAnsi" w:cstheme="majorHAnsi"/>
        </w:rPr>
        <w:t>.</w:t>
      </w:r>
      <w:r w:rsidR="001548B5" w:rsidRPr="000251C4">
        <w:rPr>
          <w:rFonts w:asciiTheme="majorHAnsi" w:hAnsiTheme="majorHAnsi" w:cstheme="majorHAnsi"/>
        </w:rPr>
        <w:t xml:space="preserve"> </w:t>
      </w:r>
      <w:r w:rsidR="002E287E" w:rsidRPr="000251C4">
        <w:rPr>
          <w:rFonts w:asciiTheme="majorHAnsi" w:hAnsiTheme="majorHAnsi" w:cstheme="majorHAnsi"/>
        </w:rPr>
        <w:t xml:space="preserve">Qualified equity is first allocated to all private business use, with any remaining equity then allocated to governmental use on an annual basis. </w:t>
      </w:r>
      <w:r w:rsidR="001548B5" w:rsidRPr="000251C4">
        <w:rPr>
          <w:rFonts w:asciiTheme="majorHAnsi" w:hAnsiTheme="majorHAnsi" w:cstheme="majorHAnsi"/>
        </w:rPr>
        <w:t>“Qualified equity” includes proceeds of bonds that are not tax-advantaged and funds that are not derived from proceeds of a borrowing (gifts, cash, etc.), and such equity must finance the project under the same plan of financing as the bonds. At the time of issuance of bonds for any project, the University should identify any sources of qualified equity that may also be used for the project to ensure appropriate allocation</w:t>
      </w:r>
      <w:r w:rsidR="00041811" w:rsidRPr="000251C4">
        <w:rPr>
          <w:rFonts w:asciiTheme="majorHAnsi" w:hAnsiTheme="majorHAnsi" w:cstheme="majorHAnsi"/>
        </w:rPr>
        <w:t>.</w:t>
      </w:r>
      <w:r w:rsidR="00746101" w:rsidRPr="000251C4">
        <w:rPr>
          <w:rFonts w:asciiTheme="majorHAnsi" w:hAnsiTheme="majorHAnsi" w:cstheme="majorHAnsi"/>
        </w:rPr>
        <w:t xml:space="preserve">  </w:t>
      </w:r>
      <w:r w:rsidR="00143DDD" w:rsidRPr="000251C4">
        <w:rPr>
          <w:rFonts w:asciiTheme="majorHAnsi" w:hAnsiTheme="majorHAnsi" w:cstheme="majorHAnsi"/>
        </w:rPr>
        <w:t>Please contact the Office of Treasury for any determination</w:t>
      </w:r>
      <w:r w:rsidR="000E417D" w:rsidRPr="000251C4">
        <w:rPr>
          <w:rFonts w:asciiTheme="majorHAnsi" w:hAnsiTheme="majorHAnsi" w:cstheme="majorHAnsi"/>
        </w:rPr>
        <w:t xml:space="preserve">s </w:t>
      </w:r>
      <w:r w:rsidR="00B713D3" w:rsidRPr="000251C4">
        <w:rPr>
          <w:rFonts w:asciiTheme="majorHAnsi" w:hAnsiTheme="majorHAnsi" w:cstheme="majorHAnsi"/>
        </w:rPr>
        <w:t xml:space="preserve">of qualified equity </w:t>
      </w:r>
      <w:r w:rsidR="00E46EC0" w:rsidRPr="000251C4">
        <w:rPr>
          <w:rFonts w:asciiTheme="majorHAnsi" w:hAnsiTheme="majorHAnsi" w:cstheme="majorHAnsi"/>
        </w:rPr>
        <w:t>for any specific project</w:t>
      </w:r>
      <w:r w:rsidR="003F7620" w:rsidRPr="000251C4">
        <w:rPr>
          <w:rFonts w:asciiTheme="majorHAnsi" w:hAnsiTheme="majorHAnsi" w:cstheme="majorHAnsi"/>
        </w:rPr>
        <w:t xml:space="preserve">, </w:t>
      </w:r>
      <w:r w:rsidR="00E46EC0" w:rsidRPr="000251C4">
        <w:rPr>
          <w:rFonts w:asciiTheme="majorHAnsi" w:hAnsiTheme="majorHAnsi" w:cstheme="majorHAnsi"/>
        </w:rPr>
        <w:t>financed facility</w:t>
      </w:r>
      <w:r w:rsidR="003F7620" w:rsidRPr="000251C4">
        <w:rPr>
          <w:rFonts w:asciiTheme="majorHAnsi" w:hAnsiTheme="majorHAnsi" w:cstheme="majorHAnsi"/>
        </w:rPr>
        <w:t xml:space="preserve">, or existing or proposed </w:t>
      </w:r>
      <w:r w:rsidR="00E46EC0" w:rsidRPr="000251C4">
        <w:rPr>
          <w:rFonts w:asciiTheme="majorHAnsi" w:hAnsiTheme="majorHAnsi" w:cstheme="majorHAnsi"/>
        </w:rPr>
        <w:t>bond issue</w:t>
      </w:r>
      <w:r w:rsidR="003F7620" w:rsidRPr="000251C4">
        <w:rPr>
          <w:rFonts w:asciiTheme="majorHAnsi" w:hAnsiTheme="majorHAnsi" w:cstheme="majorHAnsi"/>
        </w:rPr>
        <w:t>.</w:t>
      </w:r>
    </w:p>
    <w:p w14:paraId="0BA5C6BA" w14:textId="77777777" w:rsidR="00441681" w:rsidRPr="000251C4" w:rsidRDefault="00441681" w:rsidP="00973251">
      <w:pPr>
        <w:rPr>
          <w:rFonts w:asciiTheme="majorHAnsi" w:hAnsiTheme="majorHAnsi" w:cstheme="majorHAnsi"/>
        </w:rPr>
      </w:pPr>
    </w:p>
    <w:p w14:paraId="395FA457" w14:textId="14AB742A" w:rsidR="0068359E" w:rsidRPr="000251C4" w:rsidRDefault="0068359E" w:rsidP="00973251">
      <w:pPr>
        <w:rPr>
          <w:rFonts w:asciiTheme="majorHAnsi" w:hAnsiTheme="majorHAnsi" w:cstheme="majorHAnsi"/>
          <w:b/>
          <w:bCs/>
        </w:rPr>
      </w:pPr>
      <w:r w:rsidRPr="000251C4">
        <w:rPr>
          <w:rFonts w:asciiTheme="majorHAnsi" w:hAnsiTheme="majorHAnsi" w:cstheme="majorHAnsi"/>
          <w:b/>
          <w:bCs/>
        </w:rPr>
        <w:t>Tracking Private Business Use</w:t>
      </w:r>
    </w:p>
    <w:p w14:paraId="597B15A1" w14:textId="77777777" w:rsidR="00F1768C" w:rsidRPr="000251C4" w:rsidRDefault="004E212F" w:rsidP="002449C7">
      <w:pPr>
        <w:rPr>
          <w:rFonts w:asciiTheme="majorHAnsi" w:hAnsiTheme="majorHAnsi" w:cstheme="majorHAnsi"/>
        </w:rPr>
      </w:pPr>
      <w:r w:rsidRPr="000251C4">
        <w:rPr>
          <w:rFonts w:asciiTheme="majorHAnsi" w:hAnsiTheme="majorHAnsi" w:cstheme="majorHAnsi"/>
        </w:rPr>
        <w:t xml:space="preserve">Private business use metrics must be maintained for the life of the issued bonds.  As tax-exempt bonds may be outstanding for up to 120% of the useful life of facilities financed, which can extend beyond 40 years, the regular change of personnel and general updates of leases, management contracts, and research activities have the potential to inadvertently cause violations of private business use limits.  </w:t>
      </w:r>
    </w:p>
    <w:p w14:paraId="1D953D04" w14:textId="27894DD1" w:rsidR="0068359E" w:rsidRDefault="00364C6B" w:rsidP="002449C7">
      <w:pPr>
        <w:rPr>
          <w:rFonts w:asciiTheme="majorHAnsi" w:hAnsiTheme="majorHAnsi" w:cstheme="majorHAnsi"/>
        </w:rPr>
      </w:pPr>
      <w:r w:rsidRPr="000251C4">
        <w:rPr>
          <w:rFonts w:asciiTheme="majorHAnsi" w:hAnsiTheme="majorHAnsi" w:cstheme="majorHAnsi"/>
        </w:rPr>
        <w:lastRenderedPageBreak/>
        <w:t>T</w:t>
      </w:r>
      <w:r w:rsidR="00182AE9" w:rsidRPr="000251C4">
        <w:rPr>
          <w:rFonts w:asciiTheme="majorHAnsi" w:hAnsiTheme="majorHAnsi" w:cstheme="majorHAnsi"/>
        </w:rPr>
        <w:t>he University monitor</w:t>
      </w:r>
      <w:r w:rsidRPr="000251C4">
        <w:rPr>
          <w:rFonts w:asciiTheme="majorHAnsi" w:hAnsiTheme="majorHAnsi" w:cstheme="majorHAnsi"/>
        </w:rPr>
        <w:t>s</w:t>
      </w:r>
      <w:r w:rsidR="00182AE9" w:rsidRPr="000251C4">
        <w:rPr>
          <w:rFonts w:asciiTheme="majorHAnsi" w:hAnsiTheme="majorHAnsi" w:cstheme="majorHAnsi"/>
        </w:rPr>
        <w:t xml:space="preserve"> tax-exempt bond financed facilities for changes in the existence and/or nature of private business uses</w:t>
      </w:r>
      <w:r w:rsidR="006471F9" w:rsidRPr="000251C4">
        <w:rPr>
          <w:rFonts w:asciiTheme="majorHAnsi" w:hAnsiTheme="majorHAnsi" w:cstheme="majorHAnsi"/>
        </w:rPr>
        <w:t xml:space="preserve"> annually through a </w:t>
      </w:r>
      <w:r w:rsidR="00980077" w:rsidRPr="000251C4">
        <w:rPr>
          <w:rFonts w:asciiTheme="majorHAnsi" w:hAnsiTheme="majorHAnsi" w:cstheme="majorHAnsi"/>
        </w:rPr>
        <w:t>Tax-Exempt</w:t>
      </w:r>
      <w:r w:rsidR="006471F9" w:rsidRPr="000251C4">
        <w:rPr>
          <w:rFonts w:asciiTheme="majorHAnsi" w:hAnsiTheme="majorHAnsi" w:cstheme="majorHAnsi"/>
        </w:rPr>
        <w:t xml:space="preserve"> </w:t>
      </w:r>
      <w:r w:rsidR="002445B0" w:rsidRPr="000251C4">
        <w:rPr>
          <w:rFonts w:asciiTheme="majorHAnsi" w:hAnsiTheme="majorHAnsi" w:cstheme="majorHAnsi"/>
        </w:rPr>
        <w:t>Compliance Questionnaire sent to each campus</w:t>
      </w:r>
      <w:r w:rsidR="007542E3" w:rsidRPr="000251C4">
        <w:rPr>
          <w:rFonts w:asciiTheme="majorHAnsi" w:hAnsiTheme="majorHAnsi" w:cstheme="majorHAnsi"/>
        </w:rPr>
        <w:t xml:space="preserve"> and MUHC</w:t>
      </w:r>
      <w:r w:rsidR="008707A3" w:rsidRPr="000251C4">
        <w:rPr>
          <w:rFonts w:asciiTheme="majorHAnsi" w:hAnsiTheme="majorHAnsi" w:cstheme="majorHAnsi"/>
        </w:rPr>
        <w:t>. H</w:t>
      </w:r>
      <w:r w:rsidR="002449C7" w:rsidRPr="000251C4">
        <w:rPr>
          <w:rFonts w:asciiTheme="majorHAnsi" w:hAnsiTheme="majorHAnsi" w:cstheme="majorHAnsi"/>
        </w:rPr>
        <w:t xml:space="preserve">owever, </w:t>
      </w:r>
      <w:r w:rsidR="008707A3" w:rsidRPr="000251C4">
        <w:rPr>
          <w:rFonts w:asciiTheme="majorHAnsi" w:hAnsiTheme="majorHAnsi" w:cstheme="majorHAnsi"/>
        </w:rPr>
        <w:t xml:space="preserve">it is important to note that </w:t>
      </w:r>
      <w:r w:rsidR="00816548" w:rsidRPr="000251C4">
        <w:rPr>
          <w:rFonts w:asciiTheme="majorHAnsi" w:hAnsiTheme="majorHAnsi" w:cstheme="majorHAnsi"/>
        </w:rPr>
        <w:t>each campus and MUHC are</w:t>
      </w:r>
      <w:r w:rsidR="002449C7" w:rsidRPr="000251C4">
        <w:rPr>
          <w:rFonts w:asciiTheme="majorHAnsi" w:hAnsiTheme="majorHAnsi" w:cstheme="majorHAnsi"/>
        </w:rPr>
        <w:t xml:space="preserve"> responsible for monitoring private business </w:t>
      </w:r>
      <w:r w:rsidR="00C9635C" w:rsidRPr="000251C4">
        <w:rPr>
          <w:rFonts w:asciiTheme="majorHAnsi" w:hAnsiTheme="majorHAnsi" w:cstheme="majorHAnsi"/>
        </w:rPr>
        <w:t>use concerning</w:t>
      </w:r>
      <w:r w:rsidR="006538BA" w:rsidRPr="000251C4">
        <w:rPr>
          <w:rFonts w:asciiTheme="majorHAnsi" w:hAnsiTheme="majorHAnsi" w:cstheme="majorHAnsi"/>
        </w:rPr>
        <w:t xml:space="preserve"> each </w:t>
      </w:r>
      <w:r w:rsidR="00190C29" w:rsidRPr="000251C4">
        <w:rPr>
          <w:rFonts w:asciiTheme="majorHAnsi" w:hAnsiTheme="majorHAnsi" w:cstheme="majorHAnsi"/>
        </w:rPr>
        <w:t>tax</w:t>
      </w:r>
      <w:r w:rsidR="00816548" w:rsidRPr="000251C4">
        <w:rPr>
          <w:rFonts w:asciiTheme="majorHAnsi" w:hAnsiTheme="majorHAnsi" w:cstheme="majorHAnsi"/>
        </w:rPr>
        <w:t>-exempt financed</w:t>
      </w:r>
      <w:r w:rsidR="00190C29" w:rsidRPr="000251C4">
        <w:rPr>
          <w:rFonts w:asciiTheme="majorHAnsi" w:hAnsiTheme="majorHAnsi" w:cstheme="majorHAnsi"/>
        </w:rPr>
        <w:t xml:space="preserve"> </w:t>
      </w:r>
      <w:r w:rsidR="002449C7" w:rsidRPr="000251C4">
        <w:rPr>
          <w:rFonts w:asciiTheme="majorHAnsi" w:hAnsiTheme="majorHAnsi" w:cstheme="majorHAnsi"/>
        </w:rPr>
        <w:t xml:space="preserve">facility and then </w:t>
      </w:r>
      <w:r w:rsidR="00A3320F" w:rsidRPr="000251C4">
        <w:rPr>
          <w:rFonts w:asciiTheme="majorHAnsi" w:hAnsiTheme="majorHAnsi" w:cstheme="majorHAnsi"/>
        </w:rPr>
        <w:t>reporting all</w:t>
      </w:r>
      <w:r w:rsidR="002449C7" w:rsidRPr="000251C4">
        <w:rPr>
          <w:rFonts w:asciiTheme="majorHAnsi" w:hAnsiTheme="majorHAnsi" w:cstheme="majorHAnsi"/>
        </w:rPr>
        <w:t xml:space="preserve"> relevant information</w:t>
      </w:r>
      <w:r w:rsidR="00A3320F" w:rsidRPr="000251C4">
        <w:rPr>
          <w:rFonts w:asciiTheme="majorHAnsi" w:hAnsiTheme="majorHAnsi" w:cstheme="majorHAnsi"/>
        </w:rPr>
        <w:t>, including leases</w:t>
      </w:r>
      <w:r w:rsidR="00BF26E2" w:rsidRPr="000251C4">
        <w:rPr>
          <w:rFonts w:asciiTheme="majorHAnsi" w:hAnsiTheme="majorHAnsi" w:cstheme="majorHAnsi"/>
        </w:rPr>
        <w:t>, research agreements,</w:t>
      </w:r>
      <w:r w:rsidR="00A3320F" w:rsidRPr="000251C4">
        <w:rPr>
          <w:rFonts w:asciiTheme="majorHAnsi" w:hAnsiTheme="majorHAnsi" w:cstheme="majorHAnsi"/>
        </w:rPr>
        <w:t xml:space="preserve"> or management contracts </w:t>
      </w:r>
      <w:r w:rsidR="00DD335E" w:rsidRPr="000251C4">
        <w:rPr>
          <w:rFonts w:asciiTheme="majorHAnsi" w:hAnsiTheme="majorHAnsi" w:cstheme="majorHAnsi"/>
        </w:rPr>
        <w:t>engaged in,</w:t>
      </w:r>
      <w:r w:rsidR="002449C7" w:rsidRPr="000251C4">
        <w:rPr>
          <w:rFonts w:asciiTheme="majorHAnsi" w:hAnsiTheme="majorHAnsi" w:cstheme="majorHAnsi"/>
        </w:rPr>
        <w:t xml:space="preserve"> to </w:t>
      </w:r>
      <w:r w:rsidR="005745DE" w:rsidRPr="000251C4">
        <w:rPr>
          <w:rFonts w:asciiTheme="majorHAnsi" w:hAnsiTheme="majorHAnsi" w:cstheme="majorHAnsi"/>
        </w:rPr>
        <w:t xml:space="preserve">the Office of </w:t>
      </w:r>
      <w:r w:rsidR="002449C7" w:rsidRPr="000251C4">
        <w:rPr>
          <w:rFonts w:asciiTheme="majorHAnsi" w:hAnsiTheme="majorHAnsi" w:cstheme="majorHAnsi"/>
        </w:rPr>
        <w:t>Treasury.</w:t>
      </w:r>
    </w:p>
    <w:p w14:paraId="70629457" w14:textId="272816DD" w:rsidR="009231C0" w:rsidRPr="000251C4" w:rsidRDefault="002E178B" w:rsidP="002449C7">
      <w:pPr>
        <w:rPr>
          <w:rFonts w:asciiTheme="majorHAnsi" w:hAnsiTheme="majorHAnsi" w:cstheme="majorHAnsi"/>
        </w:rPr>
      </w:pPr>
      <w:r>
        <w:rPr>
          <w:rFonts w:asciiTheme="majorHAnsi" w:hAnsiTheme="majorHAnsi" w:cstheme="majorHAnsi"/>
        </w:rPr>
        <w:t xml:space="preserve">Additionally, the University has received funding </w:t>
      </w:r>
      <w:r w:rsidR="004D2B63">
        <w:rPr>
          <w:rFonts w:asciiTheme="majorHAnsi" w:hAnsiTheme="majorHAnsi" w:cstheme="majorHAnsi"/>
        </w:rPr>
        <w:t xml:space="preserve">for various facilities that </w:t>
      </w:r>
      <w:proofErr w:type="gramStart"/>
      <w:r w:rsidR="004D2B63">
        <w:rPr>
          <w:rFonts w:asciiTheme="majorHAnsi" w:hAnsiTheme="majorHAnsi" w:cstheme="majorHAnsi"/>
        </w:rPr>
        <w:t>has</w:t>
      </w:r>
      <w:proofErr w:type="gramEnd"/>
      <w:r w:rsidR="004D2B63">
        <w:rPr>
          <w:rFonts w:asciiTheme="majorHAnsi" w:hAnsiTheme="majorHAnsi" w:cstheme="majorHAnsi"/>
        </w:rPr>
        <w:t xml:space="preserve"> been financed with proceeds </w:t>
      </w:r>
      <w:r w:rsidR="002D1713">
        <w:rPr>
          <w:rFonts w:asciiTheme="majorHAnsi" w:hAnsiTheme="majorHAnsi" w:cstheme="majorHAnsi"/>
        </w:rPr>
        <w:t>from tax-exempt bonds</w:t>
      </w:r>
      <w:r w:rsidR="003A113C">
        <w:rPr>
          <w:rFonts w:asciiTheme="majorHAnsi" w:hAnsiTheme="majorHAnsi" w:cstheme="majorHAnsi"/>
        </w:rPr>
        <w:t xml:space="preserve"> issued by the state of Missouri</w:t>
      </w:r>
      <w:r w:rsidR="002D1713">
        <w:rPr>
          <w:rFonts w:asciiTheme="majorHAnsi" w:hAnsiTheme="majorHAnsi" w:cstheme="majorHAnsi"/>
        </w:rPr>
        <w:t xml:space="preserve">.  These </w:t>
      </w:r>
      <w:r w:rsidR="002D0389">
        <w:rPr>
          <w:rFonts w:asciiTheme="majorHAnsi" w:hAnsiTheme="majorHAnsi" w:cstheme="majorHAnsi"/>
        </w:rPr>
        <w:t xml:space="preserve">facilities are subject to the same requirements </w:t>
      </w:r>
      <w:r w:rsidR="00F235F5">
        <w:rPr>
          <w:rFonts w:asciiTheme="majorHAnsi" w:hAnsiTheme="majorHAnsi" w:cstheme="majorHAnsi"/>
        </w:rPr>
        <w:t>and</w:t>
      </w:r>
      <w:r w:rsidR="00451FDF">
        <w:rPr>
          <w:rFonts w:asciiTheme="majorHAnsi" w:hAnsiTheme="majorHAnsi" w:cstheme="majorHAnsi"/>
        </w:rPr>
        <w:t xml:space="preserve"> </w:t>
      </w:r>
      <w:r w:rsidR="008132A3">
        <w:rPr>
          <w:rFonts w:asciiTheme="majorHAnsi" w:hAnsiTheme="majorHAnsi" w:cstheme="majorHAnsi"/>
        </w:rPr>
        <w:t>require annual reporting to the state of Missouri.</w:t>
      </w:r>
      <w:r w:rsidR="00605E00">
        <w:rPr>
          <w:rFonts w:asciiTheme="majorHAnsi" w:hAnsiTheme="majorHAnsi" w:cstheme="majorHAnsi"/>
        </w:rPr>
        <w:t xml:space="preserve">  Generally, the</w:t>
      </w:r>
      <w:r w:rsidR="009D1B54">
        <w:rPr>
          <w:rFonts w:asciiTheme="majorHAnsi" w:hAnsiTheme="majorHAnsi" w:cstheme="majorHAnsi"/>
        </w:rPr>
        <w:t xml:space="preserve"> information</w:t>
      </w:r>
      <w:r w:rsidR="00605E00">
        <w:rPr>
          <w:rFonts w:asciiTheme="majorHAnsi" w:hAnsiTheme="majorHAnsi" w:cstheme="majorHAnsi"/>
        </w:rPr>
        <w:t xml:space="preserve"> request is received by the </w:t>
      </w:r>
      <w:r w:rsidR="00AD1DE7">
        <w:rPr>
          <w:rFonts w:asciiTheme="majorHAnsi" w:hAnsiTheme="majorHAnsi" w:cstheme="majorHAnsi"/>
        </w:rPr>
        <w:t xml:space="preserve">University’s </w:t>
      </w:r>
      <w:r w:rsidR="00605E00">
        <w:rPr>
          <w:rFonts w:asciiTheme="majorHAnsi" w:hAnsiTheme="majorHAnsi" w:cstheme="majorHAnsi"/>
        </w:rPr>
        <w:t>Office of Treasury and</w:t>
      </w:r>
      <w:r w:rsidR="00AD1DE7">
        <w:rPr>
          <w:rFonts w:asciiTheme="majorHAnsi" w:hAnsiTheme="majorHAnsi" w:cstheme="majorHAnsi"/>
        </w:rPr>
        <w:t xml:space="preserve"> then sent on to each campus</w:t>
      </w:r>
      <w:r w:rsidR="009D1B54">
        <w:rPr>
          <w:rFonts w:asciiTheme="majorHAnsi" w:hAnsiTheme="majorHAnsi" w:cstheme="majorHAnsi"/>
        </w:rPr>
        <w:t xml:space="preserve"> for completion</w:t>
      </w:r>
      <w:r w:rsidR="00AD1DE7">
        <w:rPr>
          <w:rFonts w:asciiTheme="majorHAnsi" w:hAnsiTheme="majorHAnsi" w:cstheme="majorHAnsi"/>
        </w:rPr>
        <w:t xml:space="preserve">. </w:t>
      </w:r>
      <w:r w:rsidR="00605E00">
        <w:rPr>
          <w:rFonts w:asciiTheme="majorHAnsi" w:hAnsiTheme="majorHAnsi" w:cstheme="majorHAnsi"/>
        </w:rPr>
        <w:t xml:space="preserve"> </w:t>
      </w:r>
      <w:r w:rsidR="00F235F5">
        <w:rPr>
          <w:rFonts w:asciiTheme="majorHAnsi" w:hAnsiTheme="majorHAnsi" w:cstheme="majorHAnsi"/>
        </w:rPr>
        <w:t xml:space="preserve"> </w:t>
      </w:r>
    </w:p>
    <w:p w14:paraId="17CD2190" w14:textId="77777777" w:rsidR="00337A39" w:rsidRDefault="00337A39">
      <w:pPr>
        <w:rPr>
          <w:rFonts w:asciiTheme="majorHAnsi" w:hAnsiTheme="majorHAnsi" w:cstheme="majorHAnsi"/>
          <w:b/>
          <w:bCs/>
        </w:rPr>
      </w:pPr>
    </w:p>
    <w:p w14:paraId="3DD26970" w14:textId="0DF1FEEA" w:rsidR="00FD55A5" w:rsidRPr="00337A39" w:rsidRDefault="007B4259">
      <w:pPr>
        <w:rPr>
          <w:rFonts w:asciiTheme="majorHAnsi" w:hAnsiTheme="majorHAnsi" w:cstheme="majorHAnsi"/>
          <w:b/>
          <w:bCs/>
        </w:rPr>
      </w:pPr>
      <w:r w:rsidRPr="00337A39">
        <w:rPr>
          <w:rFonts w:asciiTheme="majorHAnsi" w:hAnsiTheme="majorHAnsi" w:cstheme="majorHAnsi"/>
          <w:b/>
          <w:bCs/>
        </w:rPr>
        <w:t>Exceptions to Private Business Use</w:t>
      </w:r>
    </w:p>
    <w:p w14:paraId="38E5055C" w14:textId="7870797F" w:rsidR="00A46AE9" w:rsidRPr="000251C4" w:rsidRDefault="004B787F">
      <w:pPr>
        <w:rPr>
          <w:rFonts w:asciiTheme="majorHAnsi" w:hAnsiTheme="majorHAnsi" w:cstheme="majorHAnsi"/>
        </w:rPr>
      </w:pPr>
      <w:r w:rsidRPr="000251C4">
        <w:rPr>
          <w:rFonts w:asciiTheme="majorHAnsi" w:hAnsiTheme="majorHAnsi" w:cstheme="majorHAnsi"/>
        </w:rPr>
        <w:t xml:space="preserve">This </w:t>
      </w:r>
      <w:r w:rsidR="00337A39">
        <w:rPr>
          <w:rFonts w:asciiTheme="majorHAnsi" w:hAnsiTheme="majorHAnsi" w:cstheme="majorHAnsi"/>
        </w:rPr>
        <w:t>section</w:t>
      </w:r>
      <w:r w:rsidRPr="000251C4">
        <w:rPr>
          <w:rFonts w:asciiTheme="majorHAnsi" w:hAnsiTheme="majorHAnsi" w:cstheme="majorHAnsi"/>
        </w:rPr>
        <w:t xml:space="preserve"> serves as a guide to instances that </w:t>
      </w:r>
      <w:r w:rsidR="00D94FC3" w:rsidRPr="000251C4">
        <w:rPr>
          <w:rFonts w:asciiTheme="majorHAnsi" w:hAnsiTheme="majorHAnsi" w:cstheme="majorHAnsi"/>
        </w:rPr>
        <w:t xml:space="preserve">may fit the general parameters of private business </w:t>
      </w:r>
      <w:r w:rsidR="00337A39" w:rsidRPr="000251C4">
        <w:rPr>
          <w:rFonts w:asciiTheme="majorHAnsi" w:hAnsiTheme="majorHAnsi" w:cstheme="majorHAnsi"/>
        </w:rPr>
        <w:t>use but</w:t>
      </w:r>
      <w:r w:rsidR="00D94FC3" w:rsidRPr="000251C4">
        <w:rPr>
          <w:rFonts w:asciiTheme="majorHAnsi" w:hAnsiTheme="majorHAnsi" w:cstheme="majorHAnsi"/>
        </w:rPr>
        <w:t xml:space="preserve"> </w:t>
      </w:r>
      <w:r w:rsidR="00776FF2" w:rsidRPr="000251C4">
        <w:rPr>
          <w:rFonts w:asciiTheme="majorHAnsi" w:hAnsiTheme="majorHAnsi" w:cstheme="majorHAnsi"/>
        </w:rPr>
        <w:t>are allowed to be excluded from</w:t>
      </w:r>
      <w:r w:rsidR="00F06046" w:rsidRPr="000251C4">
        <w:rPr>
          <w:rFonts w:asciiTheme="majorHAnsi" w:hAnsiTheme="majorHAnsi" w:cstheme="majorHAnsi"/>
        </w:rPr>
        <w:t xml:space="preserve"> private business use calculation</w:t>
      </w:r>
      <w:r w:rsidR="00066925" w:rsidRPr="000251C4">
        <w:rPr>
          <w:rFonts w:asciiTheme="majorHAnsi" w:hAnsiTheme="majorHAnsi" w:cstheme="majorHAnsi"/>
        </w:rPr>
        <w:t>s</w:t>
      </w:r>
      <w:r w:rsidR="005071FB" w:rsidRPr="000251C4">
        <w:rPr>
          <w:rFonts w:asciiTheme="majorHAnsi" w:hAnsiTheme="majorHAnsi" w:cstheme="majorHAnsi"/>
        </w:rPr>
        <w:t xml:space="preserve">.  </w:t>
      </w:r>
      <w:r w:rsidR="00510B29" w:rsidRPr="000251C4">
        <w:rPr>
          <w:rFonts w:asciiTheme="majorHAnsi" w:hAnsiTheme="majorHAnsi" w:cstheme="majorHAnsi"/>
        </w:rPr>
        <w:t xml:space="preserve">Please consult the Office of Treasury </w:t>
      </w:r>
      <w:r w:rsidR="007A3CA1" w:rsidRPr="000251C4">
        <w:rPr>
          <w:rFonts w:asciiTheme="majorHAnsi" w:hAnsiTheme="majorHAnsi" w:cstheme="majorHAnsi"/>
        </w:rPr>
        <w:t xml:space="preserve">if there is a situation that </w:t>
      </w:r>
      <w:r w:rsidR="00A46AE9" w:rsidRPr="000251C4">
        <w:rPr>
          <w:rFonts w:asciiTheme="majorHAnsi" w:hAnsiTheme="majorHAnsi" w:cstheme="majorHAnsi"/>
        </w:rPr>
        <w:t>appears to conform to these exceptions.</w:t>
      </w:r>
    </w:p>
    <w:p w14:paraId="341D6B7E" w14:textId="3A30F116" w:rsidR="00A46AE9" w:rsidRPr="000251C4" w:rsidRDefault="00A46AE9" w:rsidP="00C53221">
      <w:pPr>
        <w:pStyle w:val="ListParagraph"/>
        <w:numPr>
          <w:ilvl w:val="0"/>
          <w:numId w:val="1"/>
        </w:numPr>
        <w:rPr>
          <w:rFonts w:asciiTheme="majorHAnsi" w:hAnsiTheme="majorHAnsi" w:cstheme="majorHAnsi"/>
        </w:rPr>
      </w:pPr>
      <w:r w:rsidRPr="000251C4">
        <w:rPr>
          <w:rFonts w:asciiTheme="majorHAnsi" w:hAnsiTheme="majorHAnsi" w:cstheme="majorHAnsi"/>
        </w:rPr>
        <w:t>Leased Space</w:t>
      </w:r>
      <w:r w:rsidR="00A07E28" w:rsidRPr="000251C4">
        <w:rPr>
          <w:rFonts w:asciiTheme="majorHAnsi" w:hAnsiTheme="majorHAnsi" w:cstheme="majorHAnsi"/>
        </w:rPr>
        <w:t xml:space="preserve"> - </w:t>
      </w:r>
      <w:r w:rsidR="00C53221" w:rsidRPr="000251C4">
        <w:rPr>
          <w:rFonts w:asciiTheme="majorHAnsi" w:hAnsiTheme="majorHAnsi" w:cstheme="majorHAnsi"/>
        </w:rPr>
        <w:t xml:space="preserve">Certain arrangements with terms of less than 200 days that do not otherwise convey priority rights or other preferential benefits may constitute </w:t>
      </w:r>
      <w:proofErr w:type="gramStart"/>
      <w:r w:rsidR="00C53221" w:rsidRPr="000251C4">
        <w:rPr>
          <w:rFonts w:asciiTheme="majorHAnsi" w:hAnsiTheme="majorHAnsi" w:cstheme="majorHAnsi"/>
        </w:rPr>
        <w:t>general public</w:t>
      </w:r>
      <w:proofErr w:type="gramEnd"/>
      <w:r w:rsidR="00C53221" w:rsidRPr="000251C4">
        <w:rPr>
          <w:rFonts w:asciiTheme="majorHAnsi" w:hAnsiTheme="majorHAnsi" w:cstheme="majorHAnsi"/>
        </w:rPr>
        <w:t xml:space="preserve"> use.</w:t>
      </w:r>
    </w:p>
    <w:p w14:paraId="2F6EFADA" w14:textId="77777777" w:rsidR="00C53221" w:rsidRPr="000251C4" w:rsidRDefault="00C53221" w:rsidP="00AF1B2A">
      <w:pPr>
        <w:pStyle w:val="ListParagraph"/>
        <w:rPr>
          <w:rFonts w:asciiTheme="majorHAnsi" w:hAnsiTheme="majorHAnsi" w:cstheme="majorHAnsi"/>
        </w:rPr>
      </w:pPr>
    </w:p>
    <w:p w14:paraId="701C7230" w14:textId="66687A8F" w:rsidR="007D1250" w:rsidRPr="000251C4" w:rsidRDefault="007D1250" w:rsidP="007D1250">
      <w:pPr>
        <w:pStyle w:val="ListParagraph"/>
        <w:numPr>
          <w:ilvl w:val="1"/>
          <w:numId w:val="1"/>
        </w:numPr>
        <w:rPr>
          <w:rFonts w:asciiTheme="majorHAnsi" w:hAnsiTheme="majorHAnsi" w:cstheme="majorHAnsi"/>
        </w:rPr>
      </w:pPr>
      <w:r w:rsidRPr="000251C4">
        <w:rPr>
          <w:rFonts w:asciiTheme="majorHAnsi" w:hAnsiTheme="majorHAnsi" w:cstheme="majorHAnsi"/>
        </w:rPr>
        <w:t xml:space="preserve">100 Days Limited General Public Use Arrangements. The financed facility may be used by any person or entity under any arrangement for use (other than as an owner) for a contract term (including renewal options) of no longer than 100 days over the life of the contract, provided that the arrangement would be general public use except that it is not available on the same basis for use by natural persons because generally applicable and uniformly applied rates are not reasonably available to natural persons not engaged in a trade or business. </w:t>
      </w:r>
    </w:p>
    <w:p w14:paraId="029A98FA" w14:textId="77777777" w:rsidR="007D1250" w:rsidRPr="000251C4" w:rsidRDefault="007D1250" w:rsidP="00AF1B2A">
      <w:pPr>
        <w:pStyle w:val="ListParagraph"/>
        <w:ind w:left="1440"/>
        <w:rPr>
          <w:rFonts w:asciiTheme="majorHAnsi" w:hAnsiTheme="majorHAnsi" w:cstheme="majorHAnsi"/>
        </w:rPr>
      </w:pPr>
    </w:p>
    <w:p w14:paraId="1F37FCA3" w14:textId="77E7D69F" w:rsidR="007D1250" w:rsidRPr="000251C4" w:rsidRDefault="007D1250" w:rsidP="00595091">
      <w:pPr>
        <w:pStyle w:val="ListParagraph"/>
        <w:numPr>
          <w:ilvl w:val="1"/>
          <w:numId w:val="1"/>
        </w:numPr>
        <w:rPr>
          <w:rFonts w:asciiTheme="majorHAnsi" w:hAnsiTheme="majorHAnsi" w:cstheme="majorHAnsi"/>
        </w:rPr>
      </w:pPr>
      <w:r w:rsidRPr="000251C4">
        <w:rPr>
          <w:rFonts w:asciiTheme="majorHAnsi" w:hAnsiTheme="majorHAnsi" w:cstheme="majorHAnsi"/>
        </w:rPr>
        <w:t xml:space="preserve">50 Days Negotiated Arm’s-length Use Arrangements. The financed facility may be used by any person or entity under any arrangement (other than as an owner) for a contract term (including renewal options) of no longer than 50 days, provided the arrangement is negotiated at </w:t>
      </w:r>
      <w:proofErr w:type="gramStart"/>
      <w:r w:rsidRPr="000251C4">
        <w:rPr>
          <w:rFonts w:asciiTheme="majorHAnsi" w:hAnsiTheme="majorHAnsi" w:cstheme="majorHAnsi"/>
        </w:rPr>
        <w:t>arm’s-length</w:t>
      </w:r>
      <w:proofErr w:type="gramEnd"/>
      <w:r w:rsidRPr="000251C4">
        <w:rPr>
          <w:rFonts w:asciiTheme="majorHAnsi" w:hAnsiTheme="majorHAnsi" w:cstheme="majorHAnsi"/>
        </w:rPr>
        <w:t xml:space="preserve"> and the compensation paid for the use </w:t>
      </w:r>
      <w:proofErr w:type="gramStart"/>
      <w:r w:rsidRPr="000251C4">
        <w:rPr>
          <w:rFonts w:asciiTheme="majorHAnsi" w:hAnsiTheme="majorHAnsi" w:cstheme="majorHAnsi"/>
        </w:rPr>
        <w:t>is at</w:t>
      </w:r>
      <w:proofErr w:type="gramEnd"/>
      <w:r w:rsidRPr="000251C4">
        <w:rPr>
          <w:rFonts w:asciiTheme="majorHAnsi" w:hAnsiTheme="majorHAnsi" w:cstheme="majorHAnsi"/>
        </w:rPr>
        <w:t xml:space="preserve"> fair market value. While the regulations are not clear on this point, the University treats any amount of use in one day (e.g. one hour) as a day of use for purposes of this safe harbor. </w:t>
      </w:r>
    </w:p>
    <w:p w14:paraId="05A24B02" w14:textId="77777777" w:rsidR="00595091" w:rsidRPr="000251C4" w:rsidRDefault="00595091" w:rsidP="00AF1B2A">
      <w:pPr>
        <w:pStyle w:val="ListParagraph"/>
        <w:rPr>
          <w:rFonts w:asciiTheme="majorHAnsi" w:hAnsiTheme="majorHAnsi" w:cstheme="majorHAnsi"/>
        </w:rPr>
      </w:pPr>
    </w:p>
    <w:p w14:paraId="42609F31" w14:textId="08339689" w:rsidR="00C53221" w:rsidRPr="000251C4" w:rsidRDefault="007D1250" w:rsidP="007D1250">
      <w:pPr>
        <w:pStyle w:val="ListParagraph"/>
        <w:numPr>
          <w:ilvl w:val="1"/>
          <w:numId w:val="1"/>
        </w:numPr>
        <w:rPr>
          <w:rFonts w:asciiTheme="majorHAnsi" w:hAnsiTheme="majorHAnsi" w:cstheme="majorHAnsi"/>
        </w:rPr>
      </w:pPr>
      <w:r w:rsidRPr="000251C4">
        <w:rPr>
          <w:rFonts w:asciiTheme="majorHAnsi" w:hAnsiTheme="majorHAnsi" w:cstheme="majorHAnsi"/>
        </w:rPr>
        <w:t>Incidental Use Arrangements. The financed facility may be used by any person or entity where the use is incidental if the use is non-possessory (except for vending machines, pay telephones, kiosks and similar uses, for which possessory use is permitted) and the non-possessory uses do not in the aggregate exceed 2½% of the financed facility.</w:t>
      </w:r>
    </w:p>
    <w:p w14:paraId="0A9C9DBB" w14:textId="77777777" w:rsidR="00595091" w:rsidRPr="000251C4" w:rsidRDefault="00595091" w:rsidP="00AF1B2A">
      <w:pPr>
        <w:pStyle w:val="ListParagraph"/>
        <w:rPr>
          <w:rFonts w:asciiTheme="majorHAnsi" w:hAnsiTheme="majorHAnsi" w:cstheme="majorHAnsi"/>
        </w:rPr>
      </w:pPr>
    </w:p>
    <w:p w14:paraId="505B7FCB" w14:textId="0166E714" w:rsidR="00595091" w:rsidRPr="000251C4" w:rsidRDefault="00595091" w:rsidP="00595091">
      <w:pPr>
        <w:pStyle w:val="ListParagraph"/>
        <w:numPr>
          <w:ilvl w:val="0"/>
          <w:numId w:val="1"/>
        </w:numPr>
        <w:rPr>
          <w:rFonts w:asciiTheme="majorHAnsi" w:hAnsiTheme="majorHAnsi" w:cstheme="majorHAnsi"/>
        </w:rPr>
      </w:pPr>
      <w:r w:rsidRPr="000251C4">
        <w:rPr>
          <w:rFonts w:asciiTheme="majorHAnsi" w:hAnsiTheme="majorHAnsi" w:cstheme="majorHAnsi"/>
        </w:rPr>
        <w:t xml:space="preserve">Management Contracts </w:t>
      </w:r>
      <w:r w:rsidR="009A596C" w:rsidRPr="000251C4">
        <w:rPr>
          <w:rFonts w:asciiTheme="majorHAnsi" w:hAnsiTheme="majorHAnsi" w:cstheme="majorHAnsi"/>
        </w:rPr>
        <w:t>–</w:t>
      </w:r>
      <w:r w:rsidRPr="000251C4">
        <w:rPr>
          <w:rFonts w:asciiTheme="majorHAnsi" w:hAnsiTheme="majorHAnsi" w:cstheme="majorHAnsi"/>
        </w:rPr>
        <w:t xml:space="preserve"> </w:t>
      </w:r>
      <w:r w:rsidR="009A596C" w:rsidRPr="000251C4">
        <w:rPr>
          <w:rFonts w:asciiTheme="majorHAnsi" w:hAnsiTheme="majorHAnsi" w:cstheme="majorHAnsi"/>
        </w:rPr>
        <w:t xml:space="preserve">Safe harbor provisions for exclusion </w:t>
      </w:r>
      <w:r w:rsidR="00C62FDB" w:rsidRPr="000251C4">
        <w:rPr>
          <w:rFonts w:asciiTheme="majorHAnsi" w:hAnsiTheme="majorHAnsi" w:cstheme="majorHAnsi"/>
        </w:rPr>
        <w:t xml:space="preserve">of management contracts </w:t>
      </w:r>
      <w:r w:rsidR="00CA622A" w:rsidRPr="000251C4">
        <w:rPr>
          <w:rFonts w:asciiTheme="majorHAnsi" w:hAnsiTheme="majorHAnsi" w:cstheme="majorHAnsi"/>
        </w:rPr>
        <w:t xml:space="preserve">are </w:t>
      </w:r>
      <w:r w:rsidR="006578E9" w:rsidRPr="000251C4">
        <w:rPr>
          <w:rFonts w:asciiTheme="majorHAnsi" w:hAnsiTheme="majorHAnsi" w:cstheme="majorHAnsi"/>
        </w:rPr>
        <w:t xml:space="preserve">complex and except for the items listed below, should be evaluated on a case-by-case basis with </w:t>
      </w:r>
      <w:r w:rsidR="00C23483" w:rsidRPr="000251C4">
        <w:rPr>
          <w:rFonts w:asciiTheme="majorHAnsi" w:hAnsiTheme="majorHAnsi" w:cstheme="majorHAnsi"/>
        </w:rPr>
        <w:t>the Office of Treasury.</w:t>
      </w:r>
    </w:p>
    <w:p w14:paraId="5CEF127B" w14:textId="77777777" w:rsidR="00311BFF" w:rsidRPr="000251C4" w:rsidRDefault="00311BFF" w:rsidP="00AF1B2A">
      <w:pPr>
        <w:pStyle w:val="ListParagraph"/>
        <w:rPr>
          <w:rFonts w:asciiTheme="majorHAnsi" w:hAnsiTheme="majorHAnsi" w:cstheme="majorHAnsi"/>
        </w:rPr>
      </w:pPr>
    </w:p>
    <w:p w14:paraId="4120A1D9" w14:textId="4BCF6DD8" w:rsidR="00311BFF" w:rsidRPr="000251C4" w:rsidRDefault="00311BFF" w:rsidP="00311BFF">
      <w:pPr>
        <w:pStyle w:val="ListParagraph"/>
        <w:numPr>
          <w:ilvl w:val="1"/>
          <w:numId w:val="1"/>
        </w:numPr>
        <w:rPr>
          <w:rFonts w:asciiTheme="majorHAnsi" w:hAnsiTheme="majorHAnsi" w:cstheme="majorHAnsi"/>
        </w:rPr>
      </w:pPr>
      <w:r w:rsidRPr="000251C4">
        <w:rPr>
          <w:rFonts w:asciiTheme="majorHAnsi" w:hAnsiTheme="majorHAnsi" w:cstheme="majorHAnsi"/>
        </w:rPr>
        <w:lastRenderedPageBreak/>
        <w:t>Incidental Contracts</w:t>
      </w:r>
      <w:r w:rsidR="00C72D5D" w:rsidRPr="000251C4">
        <w:rPr>
          <w:rFonts w:asciiTheme="majorHAnsi" w:hAnsiTheme="majorHAnsi" w:cstheme="majorHAnsi"/>
        </w:rPr>
        <w:t>-</w:t>
      </w:r>
      <w:r w:rsidRPr="000251C4">
        <w:rPr>
          <w:rFonts w:asciiTheme="majorHAnsi" w:hAnsiTheme="majorHAnsi" w:cstheme="majorHAnsi"/>
        </w:rPr>
        <w:t xml:space="preserve"> A contract that is solely incidental to the primary governmental function of a financed facility, including contracts for janitorial, office equipment repair, hospital billing, or similar services.</w:t>
      </w:r>
    </w:p>
    <w:p w14:paraId="649B02DD" w14:textId="66D10731" w:rsidR="00311BFF" w:rsidRPr="000251C4" w:rsidRDefault="00311BFF" w:rsidP="00311BFF">
      <w:pPr>
        <w:pStyle w:val="ListParagraph"/>
        <w:numPr>
          <w:ilvl w:val="1"/>
          <w:numId w:val="1"/>
        </w:numPr>
        <w:rPr>
          <w:rFonts w:asciiTheme="majorHAnsi" w:hAnsiTheme="majorHAnsi" w:cstheme="majorHAnsi"/>
        </w:rPr>
      </w:pPr>
      <w:r w:rsidRPr="000251C4">
        <w:rPr>
          <w:rFonts w:asciiTheme="majorHAnsi" w:hAnsiTheme="majorHAnsi" w:cstheme="majorHAnsi"/>
        </w:rPr>
        <w:t>Hospital Admitting Privileges</w:t>
      </w:r>
      <w:r w:rsidR="00C72D5D" w:rsidRPr="000251C4">
        <w:rPr>
          <w:rFonts w:asciiTheme="majorHAnsi" w:hAnsiTheme="majorHAnsi" w:cstheme="majorHAnsi"/>
        </w:rPr>
        <w:t>-</w:t>
      </w:r>
      <w:r w:rsidRPr="000251C4">
        <w:rPr>
          <w:rFonts w:asciiTheme="majorHAnsi" w:hAnsiTheme="majorHAnsi" w:cstheme="majorHAnsi"/>
        </w:rPr>
        <w:t xml:space="preserve"> The mere granting of admitting privileges by a hospital to a doctor is not a management contract if those privileges are available to all qualified physicians in the area consistent with the size and nature of its facilities.</w:t>
      </w:r>
    </w:p>
    <w:p w14:paraId="3E9FEF4D" w14:textId="373E436A" w:rsidR="00311BFF" w:rsidRPr="000251C4" w:rsidRDefault="00311BFF" w:rsidP="00311BFF">
      <w:pPr>
        <w:pStyle w:val="ListParagraph"/>
        <w:numPr>
          <w:ilvl w:val="1"/>
          <w:numId w:val="1"/>
        </w:numPr>
        <w:rPr>
          <w:rFonts w:asciiTheme="majorHAnsi" w:hAnsiTheme="majorHAnsi" w:cstheme="majorHAnsi"/>
        </w:rPr>
      </w:pPr>
      <w:r w:rsidRPr="000251C4">
        <w:rPr>
          <w:rFonts w:asciiTheme="majorHAnsi" w:hAnsiTheme="majorHAnsi" w:cstheme="majorHAnsi"/>
        </w:rPr>
        <w:t>Reimbursement Contracts</w:t>
      </w:r>
      <w:r w:rsidR="00C72D5D" w:rsidRPr="000251C4">
        <w:rPr>
          <w:rFonts w:asciiTheme="majorHAnsi" w:hAnsiTheme="majorHAnsi" w:cstheme="majorHAnsi"/>
        </w:rPr>
        <w:t>-</w:t>
      </w:r>
      <w:r w:rsidRPr="000251C4">
        <w:rPr>
          <w:rFonts w:asciiTheme="majorHAnsi" w:hAnsiTheme="majorHAnsi" w:cstheme="majorHAnsi"/>
        </w:rPr>
        <w:t xml:space="preserve"> A contract to provide for services if the only compensation is Reimbursements to the service provider.</w:t>
      </w:r>
    </w:p>
    <w:p w14:paraId="7172FD8C" w14:textId="15D7CE52" w:rsidR="00311BFF" w:rsidRPr="000251C4" w:rsidRDefault="00311BFF" w:rsidP="00311BFF">
      <w:pPr>
        <w:pStyle w:val="ListParagraph"/>
        <w:numPr>
          <w:ilvl w:val="1"/>
          <w:numId w:val="1"/>
        </w:numPr>
        <w:rPr>
          <w:rFonts w:asciiTheme="majorHAnsi" w:hAnsiTheme="majorHAnsi" w:cstheme="majorHAnsi"/>
        </w:rPr>
      </w:pPr>
      <w:r w:rsidRPr="000251C4">
        <w:rPr>
          <w:rFonts w:asciiTheme="majorHAnsi" w:hAnsiTheme="majorHAnsi" w:cstheme="majorHAnsi"/>
        </w:rPr>
        <w:t>Eligible Expense Reimbursement Arrangement</w:t>
      </w:r>
      <w:r w:rsidR="00C72D5D" w:rsidRPr="000251C4">
        <w:rPr>
          <w:rFonts w:asciiTheme="majorHAnsi" w:hAnsiTheme="majorHAnsi" w:cstheme="majorHAnsi"/>
        </w:rPr>
        <w:t>-</w:t>
      </w:r>
      <w:r w:rsidRPr="000251C4">
        <w:rPr>
          <w:rFonts w:asciiTheme="majorHAnsi" w:hAnsiTheme="majorHAnsi" w:cstheme="majorHAnsi"/>
        </w:rPr>
        <w:t xml:space="preserve"> A contract to provide for services if the only compensation is </w:t>
      </w:r>
      <w:r w:rsidR="00ED16F0" w:rsidRPr="000251C4">
        <w:rPr>
          <w:rFonts w:asciiTheme="majorHAnsi" w:hAnsiTheme="majorHAnsi" w:cstheme="majorHAnsi"/>
        </w:rPr>
        <w:t>r</w:t>
      </w:r>
      <w:r w:rsidRPr="000251C4">
        <w:rPr>
          <w:rFonts w:asciiTheme="majorHAnsi" w:hAnsiTheme="majorHAnsi" w:cstheme="majorHAnsi"/>
        </w:rPr>
        <w:t>eimbursements plus reasonable related administrative overhead expenses of the service provider</w:t>
      </w:r>
      <w:r w:rsidR="00F30189" w:rsidRPr="000251C4">
        <w:rPr>
          <w:rFonts w:asciiTheme="majorHAnsi" w:hAnsiTheme="majorHAnsi" w:cstheme="majorHAnsi"/>
        </w:rPr>
        <w:t>.</w:t>
      </w:r>
    </w:p>
    <w:p w14:paraId="17385FC7" w14:textId="77777777" w:rsidR="00ED16F0" w:rsidRPr="000251C4" w:rsidRDefault="00ED16F0" w:rsidP="00AF1B2A">
      <w:pPr>
        <w:pStyle w:val="ListParagraph"/>
        <w:ind w:left="1440"/>
        <w:rPr>
          <w:rFonts w:asciiTheme="majorHAnsi" w:hAnsiTheme="majorHAnsi" w:cstheme="majorHAnsi"/>
        </w:rPr>
      </w:pPr>
    </w:p>
    <w:p w14:paraId="1D49E0E7" w14:textId="1E55FA09" w:rsidR="00163122" w:rsidRPr="000251C4" w:rsidRDefault="00ED16F0" w:rsidP="00AA4D6D">
      <w:pPr>
        <w:pStyle w:val="ListParagraph"/>
        <w:numPr>
          <w:ilvl w:val="0"/>
          <w:numId w:val="1"/>
        </w:numPr>
        <w:rPr>
          <w:rFonts w:asciiTheme="majorHAnsi" w:hAnsiTheme="majorHAnsi" w:cstheme="majorHAnsi"/>
        </w:rPr>
      </w:pPr>
      <w:r w:rsidRPr="000251C4">
        <w:rPr>
          <w:rFonts w:asciiTheme="majorHAnsi" w:hAnsiTheme="majorHAnsi" w:cstheme="majorHAnsi"/>
        </w:rPr>
        <w:t xml:space="preserve">Research Agreements </w:t>
      </w:r>
      <w:r w:rsidR="00163122" w:rsidRPr="000251C4">
        <w:rPr>
          <w:rFonts w:asciiTheme="majorHAnsi" w:hAnsiTheme="majorHAnsi" w:cstheme="majorHAnsi"/>
        </w:rPr>
        <w:t xml:space="preserve">- The </w:t>
      </w:r>
      <w:r w:rsidR="00E54AD2" w:rsidRPr="000251C4">
        <w:rPr>
          <w:rFonts w:asciiTheme="majorHAnsi" w:hAnsiTheme="majorHAnsi" w:cstheme="majorHAnsi"/>
        </w:rPr>
        <w:t>IRS</w:t>
      </w:r>
      <w:r w:rsidR="00163122" w:rsidRPr="000251C4">
        <w:rPr>
          <w:rFonts w:asciiTheme="majorHAnsi" w:hAnsiTheme="majorHAnsi" w:cstheme="majorHAnsi"/>
        </w:rPr>
        <w:t xml:space="preserve"> provides three safe harbors for sponsored research contracts for basic research that meet certain criteria. For the purposes of the safe harbors, a “sponsor” is any party other than the University (or other state or local government entity) that is sponsoring the research. The term “basic research” means any original investigation for the advancement of scientific knowledge not having a specific commercial objective. For example, product testing supporting the trade or business of a specific nongovernmental person is not considered basic research.</w:t>
      </w:r>
    </w:p>
    <w:p w14:paraId="07B3EC42" w14:textId="77777777" w:rsidR="00AA4D6D" w:rsidRPr="000251C4" w:rsidRDefault="00AA4D6D" w:rsidP="00AF1B2A">
      <w:pPr>
        <w:pStyle w:val="ListParagraph"/>
        <w:rPr>
          <w:rFonts w:asciiTheme="majorHAnsi" w:hAnsiTheme="majorHAnsi" w:cstheme="majorHAnsi"/>
        </w:rPr>
      </w:pPr>
    </w:p>
    <w:p w14:paraId="663AB515" w14:textId="77777777" w:rsidR="00593EFE" w:rsidRPr="000251C4" w:rsidRDefault="00163122" w:rsidP="00593EFE">
      <w:pPr>
        <w:pStyle w:val="ListParagraph"/>
        <w:numPr>
          <w:ilvl w:val="1"/>
          <w:numId w:val="1"/>
        </w:numPr>
        <w:rPr>
          <w:rFonts w:asciiTheme="majorHAnsi" w:hAnsiTheme="majorHAnsi" w:cstheme="majorHAnsi"/>
        </w:rPr>
      </w:pPr>
      <w:r w:rsidRPr="000251C4">
        <w:rPr>
          <w:rFonts w:asciiTheme="majorHAnsi" w:hAnsiTheme="majorHAnsi" w:cstheme="majorHAnsi"/>
        </w:rPr>
        <w:t>Safe Harbor 1: Research agreements with a corporate sponsor</w:t>
      </w:r>
      <w:r w:rsidR="00593EFE" w:rsidRPr="000251C4">
        <w:rPr>
          <w:rFonts w:asciiTheme="majorHAnsi" w:hAnsiTheme="majorHAnsi" w:cstheme="majorHAnsi"/>
        </w:rPr>
        <w:t xml:space="preserve">- </w:t>
      </w:r>
      <w:r w:rsidRPr="000251C4">
        <w:rPr>
          <w:rFonts w:asciiTheme="majorHAnsi" w:hAnsiTheme="majorHAnsi" w:cstheme="majorHAnsi"/>
        </w:rPr>
        <w:t>A research agreement relating to facilities used for research sponsored by a corporate sponsor will not create private business use so long as:</w:t>
      </w:r>
    </w:p>
    <w:p w14:paraId="53738AE8" w14:textId="77777777" w:rsidR="00D97EB4" w:rsidRPr="000251C4" w:rsidRDefault="00163122" w:rsidP="00D97EB4">
      <w:pPr>
        <w:pStyle w:val="ListParagraph"/>
        <w:numPr>
          <w:ilvl w:val="2"/>
          <w:numId w:val="1"/>
        </w:numPr>
        <w:rPr>
          <w:rFonts w:asciiTheme="majorHAnsi" w:hAnsiTheme="majorHAnsi" w:cstheme="majorHAnsi"/>
        </w:rPr>
      </w:pPr>
      <w:r w:rsidRPr="000251C4">
        <w:rPr>
          <w:rFonts w:asciiTheme="majorHAnsi" w:hAnsiTheme="majorHAnsi" w:cstheme="majorHAnsi"/>
        </w:rPr>
        <w:t xml:space="preserve">The activity consists of basic </w:t>
      </w:r>
      <w:proofErr w:type="gramStart"/>
      <w:r w:rsidRPr="000251C4">
        <w:rPr>
          <w:rFonts w:asciiTheme="majorHAnsi" w:hAnsiTheme="majorHAnsi" w:cstheme="majorHAnsi"/>
        </w:rPr>
        <w:t>research;</w:t>
      </w:r>
      <w:proofErr w:type="gramEnd"/>
    </w:p>
    <w:p w14:paraId="507F12A1" w14:textId="77777777" w:rsidR="00D97EB4" w:rsidRPr="000251C4" w:rsidRDefault="00163122" w:rsidP="00D97EB4">
      <w:pPr>
        <w:pStyle w:val="ListParagraph"/>
        <w:numPr>
          <w:ilvl w:val="2"/>
          <w:numId w:val="1"/>
        </w:numPr>
        <w:rPr>
          <w:rFonts w:asciiTheme="majorHAnsi" w:hAnsiTheme="majorHAnsi" w:cstheme="majorHAnsi"/>
        </w:rPr>
      </w:pPr>
      <w:r w:rsidRPr="000251C4">
        <w:rPr>
          <w:rFonts w:asciiTheme="majorHAnsi" w:hAnsiTheme="majorHAnsi" w:cstheme="majorHAnsi"/>
        </w:rPr>
        <w:t>The transfer of any license or other use of resulting technology to the sponsor is priced at fair market value (no less than the price that would be paid by a non-sponsoring party for the same intellectual property rights); and</w:t>
      </w:r>
    </w:p>
    <w:p w14:paraId="5D0A1A5F" w14:textId="6999E8A6" w:rsidR="00163122" w:rsidRPr="000251C4" w:rsidRDefault="00163122" w:rsidP="00D97EB4">
      <w:pPr>
        <w:pStyle w:val="ListParagraph"/>
        <w:numPr>
          <w:ilvl w:val="2"/>
          <w:numId w:val="1"/>
        </w:numPr>
        <w:rPr>
          <w:rFonts w:asciiTheme="majorHAnsi" w:hAnsiTheme="majorHAnsi" w:cstheme="majorHAnsi"/>
        </w:rPr>
      </w:pPr>
      <w:r w:rsidRPr="000251C4">
        <w:rPr>
          <w:rFonts w:asciiTheme="majorHAnsi" w:hAnsiTheme="majorHAnsi" w:cstheme="majorHAnsi"/>
        </w:rPr>
        <w:t xml:space="preserve">Fair market value is determined at the time the technology is available for use, not earlier. </w:t>
      </w:r>
    </w:p>
    <w:p w14:paraId="07ED411A" w14:textId="77777777" w:rsidR="001403D4" w:rsidRPr="000251C4" w:rsidRDefault="001403D4" w:rsidP="001403D4">
      <w:pPr>
        <w:pStyle w:val="ListParagraph"/>
        <w:ind w:left="2880"/>
        <w:rPr>
          <w:rFonts w:asciiTheme="majorHAnsi" w:hAnsiTheme="majorHAnsi" w:cstheme="majorHAnsi"/>
        </w:rPr>
      </w:pPr>
    </w:p>
    <w:p w14:paraId="63B43B14" w14:textId="79A90D73" w:rsidR="00163122" w:rsidRPr="000251C4" w:rsidRDefault="00163122" w:rsidP="00D97EB4">
      <w:pPr>
        <w:pStyle w:val="ListParagraph"/>
        <w:ind w:left="1080"/>
        <w:rPr>
          <w:rFonts w:asciiTheme="majorHAnsi" w:hAnsiTheme="majorHAnsi" w:cstheme="majorHAnsi"/>
        </w:rPr>
      </w:pPr>
      <w:r w:rsidRPr="000251C4">
        <w:rPr>
          <w:rFonts w:asciiTheme="majorHAnsi" w:hAnsiTheme="majorHAnsi" w:cstheme="majorHAnsi"/>
        </w:rPr>
        <w:t>For example, an agreement giving the sponsor an option to acquire an exclusive</w:t>
      </w:r>
      <w:r w:rsidR="002C34CA" w:rsidRPr="000251C4">
        <w:rPr>
          <w:rFonts w:asciiTheme="majorHAnsi" w:hAnsiTheme="majorHAnsi" w:cstheme="majorHAnsi"/>
        </w:rPr>
        <w:t xml:space="preserve"> l</w:t>
      </w:r>
      <w:r w:rsidRPr="000251C4">
        <w:rPr>
          <w:rFonts w:asciiTheme="majorHAnsi" w:hAnsiTheme="majorHAnsi" w:cstheme="majorHAnsi"/>
        </w:rPr>
        <w:t xml:space="preserve">icense to any resulting technology in exchange for a price specified in the contract would not satisfy the safe harbor requirements. </w:t>
      </w:r>
    </w:p>
    <w:p w14:paraId="6A5D6961" w14:textId="77777777" w:rsidR="002C34CA" w:rsidRPr="000251C4" w:rsidRDefault="002C34CA" w:rsidP="00AF1B2A">
      <w:pPr>
        <w:pStyle w:val="ListParagraph"/>
        <w:rPr>
          <w:rFonts w:asciiTheme="majorHAnsi" w:hAnsiTheme="majorHAnsi" w:cstheme="majorHAnsi"/>
        </w:rPr>
      </w:pPr>
    </w:p>
    <w:p w14:paraId="6288F185" w14:textId="77777777" w:rsidR="00D97EB4" w:rsidRPr="000251C4" w:rsidRDefault="00163122" w:rsidP="00D97EB4">
      <w:pPr>
        <w:pStyle w:val="ListParagraph"/>
        <w:numPr>
          <w:ilvl w:val="1"/>
          <w:numId w:val="1"/>
        </w:numPr>
        <w:rPr>
          <w:rFonts w:asciiTheme="majorHAnsi" w:hAnsiTheme="majorHAnsi" w:cstheme="majorHAnsi"/>
        </w:rPr>
      </w:pPr>
      <w:r w:rsidRPr="000251C4">
        <w:rPr>
          <w:rFonts w:asciiTheme="majorHAnsi" w:hAnsiTheme="majorHAnsi" w:cstheme="majorHAnsi"/>
        </w:rPr>
        <w:t>Safe Harbor 2: Research agreements with an industry sponsor</w:t>
      </w:r>
      <w:r w:rsidR="00BD00B9" w:rsidRPr="000251C4">
        <w:rPr>
          <w:rFonts w:asciiTheme="majorHAnsi" w:hAnsiTheme="majorHAnsi" w:cstheme="majorHAnsi"/>
        </w:rPr>
        <w:t xml:space="preserve">- </w:t>
      </w:r>
      <w:r w:rsidRPr="000251C4">
        <w:rPr>
          <w:rFonts w:asciiTheme="majorHAnsi" w:hAnsiTheme="majorHAnsi" w:cstheme="majorHAnsi"/>
        </w:rPr>
        <w:t>A research agreement relating to facilities used pursuant to an industry research agreement will not create private business use so long as:</w:t>
      </w:r>
    </w:p>
    <w:p w14:paraId="2E146D03" w14:textId="77777777" w:rsidR="00D97EB4" w:rsidRPr="000251C4" w:rsidRDefault="00163122" w:rsidP="00D97EB4">
      <w:pPr>
        <w:pStyle w:val="ListParagraph"/>
        <w:numPr>
          <w:ilvl w:val="2"/>
          <w:numId w:val="1"/>
        </w:numPr>
        <w:rPr>
          <w:rFonts w:asciiTheme="majorHAnsi" w:hAnsiTheme="majorHAnsi" w:cstheme="majorHAnsi"/>
        </w:rPr>
      </w:pPr>
      <w:r w:rsidRPr="000251C4">
        <w:rPr>
          <w:rFonts w:asciiTheme="majorHAnsi" w:hAnsiTheme="majorHAnsi" w:cstheme="majorHAnsi"/>
        </w:rPr>
        <w:t xml:space="preserve">One or more sponsors agree to fund basic </w:t>
      </w:r>
      <w:proofErr w:type="gramStart"/>
      <w:r w:rsidRPr="000251C4">
        <w:rPr>
          <w:rFonts w:asciiTheme="majorHAnsi" w:hAnsiTheme="majorHAnsi" w:cstheme="majorHAnsi"/>
        </w:rPr>
        <w:t>research;</w:t>
      </w:r>
      <w:proofErr w:type="gramEnd"/>
    </w:p>
    <w:p w14:paraId="3CB974EB" w14:textId="77777777" w:rsidR="00D97EB4" w:rsidRPr="000251C4" w:rsidRDefault="00163122" w:rsidP="00D97EB4">
      <w:pPr>
        <w:pStyle w:val="ListParagraph"/>
        <w:numPr>
          <w:ilvl w:val="2"/>
          <w:numId w:val="1"/>
        </w:numPr>
        <w:rPr>
          <w:rFonts w:asciiTheme="majorHAnsi" w:hAnsiTheme="majorHAnsi" w:cstheme="majorHAnsi"/>
        </w:rPr>
      </w:pPr>
      <w:r w:rsidRPr="000251C4">
        <w:rPr>
          <w:rFonts w:asciiTheme="majorHAnsi" w:hAnsiTheme="majorHAnsi" w:cstheme="majorHAnsi"/>
        </w:rPr>
        <w:t xml:space="preserve">The University determines the research to be performed and the </w:t>
      </w:r>
      <w:proofErr w:type="gramStart"/>
      <w:r w:rsidRPr="000251C4">
        <w:rPr>
          <w:rFonts w:asciiTheme="majorHAnsi" w:hAnsiTheme="majorHAnsi" w:cstheme="majorHAnsi"/>
        </w:rPr>
        <w:t>manner in which</w:t>
      </w:r>
      <w:proofErr w:type="gramEnd"/>
      <w:r w:rsidRPr="000251C4">
        <w:rPr>
          <w:rFonts w:asciiTheme="majorHAnsi" w:hAnsiTheme="majorHAnsi" w:cstheme="majorHAnsi"/>
        </w:rPr>
        <w:t xml:space="preserve"> it is to be performed (i.e., the University controls the design and performance of the research study</w:t>
      </w:r>
      <w:proofErr w:type="gramStart"/>
      <w:r w:rsidRPr="000251C4">
        <w:rPr>
          <w:rFonts w:asciiTheme="majorHAnsi" w:hAnsiTheme="majorHAnsi" w:cstheme="majorHAnsi"/>
        </w:rPr>
        <w:t>);</w:t>
      </w:r>
      <w:proofErr w:type="gramEnd"/>
      <w:r w:rsidRPr="000251C4">
        <w:rPr>
          <w:rFonts w:asciiTheme="majorHAnsi" w:hAnsiTheme="majorHAnsi" w:cstheme="majorHAnsi"/>
        </w:rPr>
        <w:t xml:space="preserve"> </w:t>
      </w:r>
    </w:p>
    <w:p w14:paraId="21DA443A" w14:textId="77777777" w:rsidR="009C6FC2" w:rsidRPr="000251C4" w:rsidRDefault="00163122" w:rsidP="009C6FC2">
      <w:pPr>
        <w:pStyle w:val="ListParagraph"/>
        <w:numPr>
          <w:ilvl w:val="2"/>
          <w:numId w:val="1"/>
        </w:numPr>
        <w:rPr>
          <w:rFonts w:asciiTheme="majorHAnsi" w:hAnsiTheme="majorHAnsi" w:cstheme="majorHAnsi"/>
        </w:rPr>
      </w:pPr>
      <w:r w:rsidRPr="000251C4">
        <w:rPr>
          <w:rFonts w:asciiTheme="majorHAnsi" w:hAnsiTheme="majorHAnsi" w:cstheme="majorHAnsi"/>
        </w:rPr>
        <w:t xml:space="preserve">The University retains title to any patent or product incidentally resulting from the basic research; and </w:t>
      </w:r>
    </w:p>
    <w:p w14:paraId="00F7E116" w14:textId="7CECC1F8" w:rsidR="00163122" w:rsidRPr="000251C4" w:rsidRDefault="00163122" w:rsidP="009C6FC2">
      <w:pPr>
        <w:pStyle w:val="ListParagraph"/>
        <w:numPr>
          <w:ilvl w:val="2"/>
          <w:numId w:val="1"/>
        </w:numPr>
        <w:rPr>
          <w:rFonts w:asciiTheme="majorHAnsi" w:hAnsiTheme="majorHAnsi" w:cstheme="majorHAnsi"/>
        </w:rPr>
      </w:pPr>
      <w:r w:rsidRPr="000251C4">
        <w:rPr>
          <w:rFonts w:asciiTheme="majorHAnsi" w:hAnsiTheme="majorHAnsi" w:cstheme="majorHAnsi"/>
        </w:rPr>
        <w:lastRenderedPageBreak/>
        <w:t xml:space="preserve">The sponsor receives no more than a nonexclusive royalty-free license to use the resulting product. </w:t>
      </w:r>
    </w:p>
    <w:p w14:paraId="5F521E11" w14:textId="77777777" w:rsidR="003F54D6" w:rsidRPr="000251C4" w:rsidRDefault="003F54D6" w:rsidP="003F54D6">
      <w:pPr>
        <w:pStyle w:val="ListParagraph"/>
        <w:ind w:left="2160"/>
        <w:rPr>
          <w:rFonts w:asciiTheme="majorHAnsi" w:hAnsiTheme="majorHAnsi" w:cstheme="majorHAnsi"/>
        </w:rPr>
      </w:pPr>
    </w:p>
    <w:p w14:paraId="1EC2B4A1" w14:textId="64EEED87" w:rsidR="00163122" w:rsidRPr="000251C4" w:rsidRDefault="00163122" w:rsidP="003F54D6">
      <w:pPr>
        <w:pStyle w:val="ListParagraph"/>
        <w:ind w:left="1080"/>
        <w:rPr>
          <w:rFonts w:asciiTheme="majorHAnsi" w:hAnsiTheme="majorHAnsi" w:cstheme="majorHAnsi"/>
        </w:rPr>
      </w:pPr>
      <w:r w:rsidRPr="000251C4">
        <w:rPr>
          <w:rFonts w:asciiTheme="majorHAnsi" w:hAnsiTheme="majorHAnsi" w:cstheme="majorHAnsi"/>
        </w:rPr>
        <w:t xml:space="preserve">Note on Corporate vs. Industry Sponsors: The distinction between “corporate” and “industry” sponsors is inconsequential as a practical matter as sponsored research agreements generally can qualify under either Safe Harbor 1 or Safe Harbor 2. Most corporate sponsors may prefer to qualify under Safe Harbor 1, because it provides the corporate sponsor with greater control over the product of the research. </w:t>
      </w:r>
    </w:p>
    <w:p w14:paraId="03AC2115" w14:textId="77777777" w:rsidR="003F54D6" w:rsidRPr="000251C4" w:rsidRDefault="003F54D6" w:rsidP="003F54D6">
      <w:pPr>
        <w:pStyle w:val="ListParagraph"/>
        <w:ind w:left="1080"/>
        <w:rPr>
          <w:rFonts w:asciiTheme="majorHAnsi" w:hAnsiTheme="majorHAnsi" w:cstheme="majorHAnsi"/>
        </w:rPr>
      </w:pPr>
    </w:p>
    <w:p w14:paraId="52ED58F7" w14:textId="77777777" w:rsidR="00005760" w:rsidRPr="000251C4" w:rsidRDefault="00163122" w:rsidP="005F149F">
      <w:pPr>
        <w:pStyle w:val="ListParagraph"/>
        <w:numPr>
          <w:ilvl w:val="1"/>
          <w:numId w:val="1"/>
        </w:numPr>
        <w:rPr>
          <w:rFonts w:asciiTheme="majorHAnsi" w:hAnsiTheme="majorHAnsi" w:cstheme="majorHAnsi"/>
        </w:rPr>
      </w:pPr>
      <w:r w:rsidRPr="000251C4">
        <w:rPr>
          <w:rFonts w:asciiTheme="majorHAnsi" w:hAnsiTheme="majorHAnsi" w:cstheme="majorHAnsi"/>
        </w:rPr>
        <w:t>Safe Harbor 3: Research agreements with federal government sponsors</w:t>
      </w:r>
      <w:r w:rsidR="00005760" w:rsidRPr="000251C4">
        <w:rPr>
          <w:rFonts w:asciiTheme="majorHAnsi" w:hAnsiTheme="majorHAnsi" w:cstheme="majorHAnsi"/>
        </w:rPr>
        <w:t xml:space="preserve">- </w:t>
      </w:r>
      <w:r w:rsidRPr="000251C4">
        <w:rPr>
          <w:rFonts w:asciiTheme="majorHAnsi" w:hAnsiTheme="majorHAnsi" w:cstheme="majorHAnsi"/>
        </w:rPr>
        <w:t xml:space="preserve">A research agreement relating to facilities used pursuant to a </w:t>
      </w:r>
      <w:proofErr w:type="gramStart"/>
      <w:r w:rsidRPr="000251C4">
        <w:rPr>
          <w:rFonts w:asciiTheme="majorHAnsi" w:hAnsiTheme="majorHAnsi" w:cstheme="majorHAnsi"/>
        </w:rPr>
        <w:t>federally-sponsored</w:t>
      </w:r>
      <w:proofErr w:type="gramEnd"/>
      <w:r w:rsidRPr="000251C4">
        <w:rPr>
          <w:rFonts w:asciiTheme="majorHAnsi" w:hAnsiTheme="majorHAnsi" w:cstheme="majorHAnsi"/>
        </w:rPr>
        <w:t xml:space="preserve"> research agreement will not create private business use so long as:</w:t>
      </w:r>
    </w:p>
    <w:p w14:paraId="44D5C350" w14:textId="77777777" w:rsidR="005F149F" w:rsidRPr="000251C4" w:rsidRDefault="00163122" w:rsidP="005F149F">
      <w:pPr>
        <w:pStyle w:val="ListParagraph"/>
        <w:numPr>
          <w:ilvl w:val="2"/>
          <w:numId w:val="1"/>
        </w:numPr>
        <w:rPr>
          <w:rFonts w:asciiTheme="majorHAnsi" w:hAnsiTheme="majorHAnsi" w:cstheme="majorHAnsi"/>
        </w:rPr>
      </w:pPr>
      <w:r w:rsidRPr="000251C4">
        <w:rPr>
          <w:rFonts w:asciiTheme="majorHAnsi" w:hAnsiTheme="majorHAnsi" w:cstheme="majorHAnsi"/>
        </w:rPr>
        <w:t xml:space="preserve">The University determines the research to be performed and the </w:t>
      </w:r>
      <w:proofErr w:type="gramStart"/>
      <w:r w:rsidRPr="000251C4">
        <w:rPr>
          <w:rFonts w:asciiTheme="majorHAnsi" w:hAnsiTheme="majorHAnsi" w:cstheme="majorHAnsi"/>
        </w:rPr>
        <w:t>manner in which</w:t>
      </w:r>
      <w:proofErr w:type="gramEnd"/>
      <w:r w:rsidRPr="000251C4">
        <w:rPr>
          <w:rFonts w:asciiTheme="majorHAnsi" w:hAnsiTheme="majorHAnsi" w:cstheme="majorHAnsi"/>
        </w:rPr>
        <w:t xml:space="preserve"> it is </w:t>
      </w:r>
      <w:proofErr w:type="gramStart"/>
      <w:r w:rsidRPr="000251C4">
        <w:rPr>
          <w:rFonts w:asciiTheme="majorHAnsi" w:hAnsiTheme="majorHAnsi" w:cstheme="majorHAnsi"/>
        </w:rPr>
        <w:t>performed;</w:t>
      </w:r>
      <w:proofErr w:type="gramEnd"/>
    </w:p>
    <w:p w14:paraId="7F64308E" w14:textId="77777777" w:rsidR="009A0357" w:rsidRPr="000251C4" w:rsidRDefault="00163122" w:rsidP="009A0357">
      <w:pPr>
        <w:pStyle w:val="ListParagraph"/>
        <w:numPr>
          <w:ilvl w:val="2"/>
          <w:numId w:val="1"/>
        </w:numPr>
        <w:rPr>
          <w:rFonts w:asciiTheme="majorHAnsi" w:hAnsiTheme="majorHAnsi" w:cstheme="majorHAnsi"/>
        </w:rPr>
      </w:pPr>
      <w:r w:rsidRPr="000251C4">
        <w:rPr>
          <w:rFonts w:asciiTheme="majorHAnsi" w:hAnsiTheme="majorHAnsi" w:cstheme="majorHAnsi"/>
        </w:rPr>
        <w:t xml:space="preserve">The University retains exclusive title to any patent or other product incidentally resulting from the basic research; and </w:t>
      </w:r>
    </w:p>
    <w:p w14:paraId="5BF49EAD" w14:textId="77777777" w:rsidR="009A0357" w:rsidRPr="000251C4" w:rsidRDefault="00163122" w:rsidP="009A0357">
      <w:pPr>
        <w:pStyle w:val="ListParagraph"/>
        <w:numPr>
          <w:ilvl w:val="2"/>
          <w:numId w:val="1"/>
        </w:numPr>
        <w:rPr>
          <w:rFonts w:asciiTheme="majorHAnsi" w:hAnsiTheme="majorHAnsi" w:cstheme="majorHAnsi"/>
        </w:rPr>
      </w:pPr>
      <w:r w:rsidRPr="000251C4">
        <w:rPr>
          <w:rFonts w:asciiTheme="majorHAnsi" w:hAnsiTheme="majorHAnsi" w:cstheme="majorHAnsi"/>
        </w:rPr>
        <w:t>Any party other than the University is entitled to no more than a nonexclusive, royalty-free license to use the product of any of that research.</w:t>
      </w:r>
    </w:p>
    <w:p w14:paraId="3486AA8A" w14:textId="64BE9F93" w:rsidR="00ED16F0" w:rsidRPr="000251C4" w:rsidRDefault="00163122" w:rsidP="009A0357">
      <w:pPr>
        <w:ind w:left="990"/>
        <w:rPr>
          <w:rFonts w:asciiTheme="majorHAnsi" w:hAnsiTheme="majorHAnsi" w:cstheme="majorHAnsi"/>
        </w:rPr>
      </w:pPr>
      <w:r w:rsidRPr="000251C4">
        <w:rPr>
          <w:rFonts w:asciiTheme="majorHAnsi" w:hAnsiTheme="majorHAnsi" w:cstheme="majorHAnsi"/>
        </w:rPr>
        <w:t xml:space="preserve">The IRS guidance does not specifically address the issue of whether technology resulting from a </w:t>
      </w:r>
      <w:proofErr w:type="gramStart"/>
      <w:r w:rsidRPr="000251C4">
        <w:rPr>
          <w:rFonts w:asciiTheme="majorHAnsi" w:hAnsiTheme="majorHAnsi" w:cstheme="majorHAnsi"/>
        </w:rPr>
        <w:t>federally-sponsored</w:t>
      </w:r>
      <w:proofErr w:type="gramEnd"/>
      <w:r w:rsidRPr="000251C4">
        <w:rPr>
          <w:rFonts w:asciiTheme="majorHAnsi" w:hAnsiTheme="majorHAnsi" w:cstheme="majorHAnsi"/>
        </w:rPr>
        <w:t xml:space="preserve"> research agreement can be transferred at fair market value</w:t>
      </w:r>
      <w:r w:rsidR="00E0358F" w:rsidRPr="000251C4">
        <w:rPr>
          <w:rFonts w:asciiTheme="majorHAnsi" w:hAnsiTheme="majorHAnsi" w:cstheme="majorHAnsi"/>
        </w:rPr>
        <w:t>.</w:t>
      </w:r>
    </w:p>
    <w:p w14:paraId="03FC713F" w14:textId="77777777" w:rsidR="00236DD2" w:rsidRPr="000251C4" w:rsidRDefault="00236DD2" w:rsidP="00236DD2">
      <w:pPr>
        <w:pStyle w:val="ListParagraph"/>
        <w:ind w:left="1080"/>
        <w:rPr>
          <w:rFonts w:asciiTheme="majorHAnsi" w:hAnsiTheme="majorHAnsi" w:cstheme="majorHAnsi"/>
        </w:rPr>
      </w:pPr>
    </w:p>
    <w:p w14:paraId="3B29BA1C" w14:textId="2411AD12" w:rsidR="00E366C3" w:rsidRPr="000251C4" w:rsidRDefault="00E366C3" w:rsidP="00236DD2">
      <w:pPr>
        <w:pStyle w:val="ListParagraph"/>
        <w:numPr>
          <w:ilvl w:val="0"/>
          <w:numId w:val="1"/>
        </w:numPr>
        <w:rPr>
          <w:rFonts w:asciiTheme="majorHAnsi" w:hAnsiTheme="majorHAnsi" w:cstheme="majorHAnsi"/>
        </w:rPr>
      </w:pPr>
      <w:r w:rsidRPr="000251C4">
        <w:rPr>
          <w:rFonts w:asciiTheme="majorHAnsi" w:hAnsiTheme="majorHAnsi" w:cstheme="majorHAnsi"/>
        </w:rPr>
        <w:t>Clinical Trials</w:t>
      </w:r>
    </w:p>
    <w:p w14:paraId="25A68759" w14:textId="7C2BE7E3" w:rsidR="001D6CB2" w:rsidRPr="000251C4" w:rsidRDefault="00E366C3" w:rsidP="001D6CB2">
      <w:pPr>
        <w:ind w:left="720"/>
        <w:rPr>
          <w:rFonts w:asciiTheme="majorHAnsi" w:hAnsiTheme="majorHAnsi" w:cstheme="majorHAnsi"/>
        </w:rPr>
      </w:pPr>
      <w:r w:rsidRPr="000251C4">
        <w:rPr>
          <w:rFonts w:asciiTheme="majorHAnsi" w:hAnsiTheme="majorHAnsi" w:cstheme="majorHAnsi"/>
        </w:rPr>
        <w:t>To ensure that clinical drug</w:t>
      </w:r>
      <w:r w:rsidR="009A0357" w:rsidRPr="000251C4">
        <w:rPr>
          <w:rFonts w:asciiTheme="majorHAnsi" w:hAnsiTheme="majorHAnsi" w:cstheme="majorHAnsi"/>
        </w:rPr>
        <w:t xml:space="preserve"> </w:t>
      </w:r>
      <w:r w:rsidRPr="000251C4">
        <w:rPr>
          <w:rFonts w:asciiTheme="majorHAnsi" w:hAnsiTheme="majorHAnsi" w:cstheme="majorHAnsi"/>
        </w:rPr>
        <w:t>trials meet the University’s governmental purposes and do not constitute private business use, clinical trial agreements</w:t>
      </w:r>
      <w:r w:rsidR="009A0357" w:rsidRPr="000251C4">
        <w:rPr>
          <w:rFonts w:asciiTheme="majorHAnsi" w:hAnsiTheme="majorHAnsi" w:cstheme="majorHAnsi"/>
        </w:rPr>
        <w:t xml:space="preserve"> </w:t>
      </w:r>
      <w:r w:rsidRPr="000251C4">
        <w:rPr>
          <w:rFonts w:asciiTheme="majorHAnsi" w:hAnsiTheme="majorHAnsi" w:cstheme="majorHAnsi"/>
        </w:rPr>
        <w:t>should include the following provisions</w:t>
      </w:r>
      <w:r w:rsidR="001D6CB2" w:rsidRPr="000251C4">
        <w:rPr>
          <w:rFonts w:asciiTheme="majorHAnsi" w:hAnsiTheme="majorHAnsi" w:cstheme="majorHAnsi"/>
        </w:rPr>
        <w:t>:</w:t>
      </w:r>
    </w:p>
    <w:p w14:paraId="4FC2E71D" w14:textId="77777777" w:rsidR="001D6CB2" w:rsidRPr="000251C4" w:rsidRDefault="00E366C3" w:rsidP="00E366C3">
      <w:pPr>
        <w:pStyle w:val="ListParagraph"/>
        <w:numPr>
          <w:ilvl w:val="1"/>
          <w:numId w:val="1"/>
        </w:numPr>
        <w:rPr>
          <w:rFonts w:asciiTheme="majorHAnsi" w:hAnsiTheme="majorHAnsi" w:cstheme="majorHAnsi"/>
        </w:rPr>
      </w:pPr>
      <w:r w:rsidRPr="000251C4">
        <w:rPr>
          <w:rFonts w:asciiTheme="majorHAnsi" w:hAnsiTheme="majorHAnsi" w:cstheme="majorHAnsi"/>
        </w:rPr>
        <w:t>Clinical trials are performed on members of the general patient population (either patients that would always</w:t>
      </w:r>
      <w:r w:rsidR="009A0357" w:rsidRPr="000251C4">
        <w:rPr>
          <w:rFonts w:asciiTheme="majorHAnsi" w:hAnsiTheme="majorHAnsi" w:cstheme="majorHAnsi"/>
        </w:rPr>
        <w:t xml:space="preserve"> </w:t>
      </w:r>
      <w:r w:rsidRPr="000251C4">
        <w:rPr>
          <w:rFonts w:asciiTheme="majorHAnsi" w:hAnsiTheme="majorHAnsi" w:cstheme="majorHAnsi"/>
        </w:rPr>
        <w:t>independently be treated or new patients brought in for the trial</w:t>
      </w:r>
      <w:proofErr w:type="gramStart"/>
      <w:r w:rsidRPr="000251C4">
        <w:rPr>
          <w:rFonts w:asciiTheme="majorHAnsi" w:hAnsiTheme="majorHAnsi" w:cstheme="majorHAnsi"/>
        </w:rPr>
        <w:t>);</w:t>
      </w:r>
      <w:proofErr w:type="gramEnd"/>
    </w:p>
    <w:p w14:paraId="6595AD88" w14:textId="77777777" w:rsidR="001D6CB2" w:rsidRPr="000251C4" w:rsidRDefault="001D6CB2" w:rsidP="00E366C3">
      <w:pPr>
        <w:pStyle w:val="ListParagraph"/>
        <w:numPr>
          <w:ilvl w:val="1"/>
          <w:numId w:val="1"/>
        </w:numPr>
        <w:rPr>
          <w:rFonts w:asciiTheme="majorHAnsi" w:hAnsiTheme="majorHAnsi" w:cstheme="majorHAnsi"/>
        </w:rPr>
      </w:pPr>
      <w:r w:rsidRPr="000251C4">
        <w:rPr>
          <w:rFonts w:asciiTheme="majorHAnsi" w:hAnsiTheme="majorHAnsi" w:cstheme="majorHAnsi"/>
        </w:rPr>
        <w:t>C</w:t>
      </w:r>
      <w:r w:rsidR="00E366C3" w:rsidRPr="000251C4">
        <w:rPr>
          <w:rFonts w:asciiTheme="majorHAnsi" w:hAnsiTheme="majorHAnsi" w:cstheme="majorHAnsi"/>
        </w:rPr>
        <w:t xml:space="preserve">linical trials are performed at facilities that serve the general patient </w:t>
      </w:r>
      <w:proofErr w:type="gramStart"/>
      <w:r w:rsidR="00E366C3" w:rsidRPr="000251C4">
        <w:rPr>
          <w:rFonts w:asciiTheme="majorHAnsi" w:hAnsiTheme="majorHAnsi" w:cstheme="majorHAnsi"/>
        </w:rPr>
        <w:t>population;</w:t>
      </w:r>
      <w:proofErr w:type="gramEnd"/>
    </w:p>
    <w:p w14:paraId="09187A37" w14:textId="77777777" w:rsidR="001D6CB2" w:rsidRPr="000251C4" w:rsidRDefault="00E366C3" w:rsidP="00E366C3">
      <w:pPr>
        <w:pStyle w:val="ListParagraph"/>
        <w:numPr>
          <w:ilvl w:val="1"/>
          <w:numId w:val="1"/>
        </w:numPr>
        <w:rPr>
          <w:rFonts w:asciiTheme="majorHAnsi" w:hAnsiTheme="majorHAnsi" w:cstheme="majorHAnsi"/>
        </w:rPr>
      </w:pPr>
      <w:r w:rsidRPr="000251C4">
        <w:rPr>
          <w:rFonts w:asciiTheme="majorHAnsi" w:hAnsiTheme="majorHAnsi" w:cstheme="majorHAnsi"/>
        </w:rPr>
        <w:t>The University is paid an objective fee for performing the trials according to the protocols previously developed</w:t>
      </w:r>
      <w:r w:rsidR="009A0357" w:rsidRPr="000251C4">
        <w:rPr>
          <w:rFonts w:asciiTheme="majorHAnsi" w:hAnsiTheme="majorHAnsi" w:cstheme="majorHAnsi"/>
        </w:rPr>
        <w:t xml:space="preserve"> </w:t>
      </w:r>
      <w:r w:rsidRPr="000251C4">
        <w:rPr>
          <w:rFonts w:asciiTheme="majorHAnsi" w:hAnsiTheme="majorHAnsi" w:cstheme="majorHAnsi"/>
        </w:rPr>
        <w:t xml:space="preserve">by the </w:t>
      </w:r>
      <w:proofErr w:type="gramStart"/>
      <w:r w:rsidRPr="000251C4">
        <w:rPr>
          <w:rFonts w:asciiTheme="majorHAnsi" w:hAnsiTheme="majorHAnsi" w:cstheme="majorHAnsi"/>
        </w:rPr>
        <w:t>sponsor;</w:t>
      </w:r>
      <w:proofErr w:type="gramEnd"/>
    </w:p>
    <w:p w14:paraId="6DFD7323" w14:textId="77777777" w:rsidR="001D6CB2" w:rsidRPr="000251C4" w:rsidRDefault="00E366C3" w:rsidP="00E366C3">
      <w:pPr>
        <w:pStyle w:val="ListParagraph"/>
        <w:numPr>
          <w:ilvl w:val="1"/>
          <w:numId w:val="1"/>
        </w:numPr>
        <w:rPr>
          <w:rFonts w:asciiTheme="majorHAnsi" w:hAnsiTheme="majorHAnsi" w:cstheme="majorHAnsi"/>
        </w:rPr>
      </w:pPr>
      <w:proofErr w:type="gramStart"/>
      <w:r w:rsidRPr="000251C4">
        <w:rPr>
          <w:rFonts w:asciiTheme="majorHAnsi" w:hAnsiTheme="majorHAnsi" w:cstheme="majorHAnsi"/>
        </w:rPr>
        <w:t>All of</w:t>
      </w:r>
      <w:proofErr w:type="gramEnd"/>
      <w:r w:rsidRPr="000251C4">
        <w:rPr>
          <w:rFonts w:asciiTheme="majorHAnsi" w:hAnsiTheme="majorHAnsi" w:cstheme="majorHAnsi"/>
        </w:rPr>
        <w:t xml:space="preserve"> the data that is collected is given to the sponsor, except for records of the type normally retained by the</w:t>
      </w:r>
      <w:r w:rsidR="009A0357" w:rsidRPr="000251C4">
        <w:rPr>
          <w:rFonts w:asciiTheme="majorHAnsi" w:hAnsiTheme="majorHAnsi" w:cstheme="majorHAnsi"/>
        </w:rPr>
        <w:t xml:space="preserve"> </w:t>
      </w:r>
      <w:r w:rsidRPr="000251C4">
        <w:rPr>
          <w:rFonts w:asciiTheme="majorHAnsi" w:hAnsiTheme="majorHAnsi" w:cstheme="majorHAnsi"/>
        </w:rPr>
        <w:t xml:space="preserve">University for non-clinical trial </w:t>
      </w:r>
      <w:proofErr w:type="gramStart"/>
      <w:r w:rsidRPr="000251C4">
        <w:rPr>
          <w:rFonts w:asciiTheme="majorHAnsi" w:hAnsiTheme="majorHAnsi" w:cstheme="majorHAnsi"/>
        </w:rPr>
        <w:t>patients;</w:t>
      </w:r>
      <w:proofErr w:type="gramEnd"/>
    </w:p>
    <w:p w14:paraId="26F5EC12" w14:textId="77777777" w:rsidR="001D6CB2" w:rsidRPr="000251C4" w:rsidRDefault="00E366C3" w:rsidP="00E366C3">
      <w:pPr>
        <w:pStyle w:val="ListParagraph"/>
        <w:numPr>
          <w:ilvl w:val="1"/>
          <w:numId w:val="1"/>
        </w:numPr>
        <w:rPr>
          <w:rFonts w:asciiTheme="majorHAnsi" w:hAnsiTheme="majorHAnsi" w:cstheme="majorHAnsi"/>
        </w:rPr>
      </w:pPr>
      <w:r w:rsidRPr="000251C4">
        <w:rPr>
          <w:rFonts w:asciiTheme="majorHAnsi" w:hAnsiTheme="majorHAnsi" w:cstheme="majorHAnsi"/>
        </w:rPr>
        <w:t xml:space="preserve">The sponsor does not dictate which facilities are used for the </w:t>
      </w:r>
      <w:proofErr w:type="gramStart"/>
      <w:r w:rsidRPr="000251C4">
        <w:rPr>
          <w:rFonts w:asciiTheme="majorHAnsi" w:hAnsiTheme="majorHAnsi" w:cstheme="majorHAnsi"/>
        </w:rPr>
        <w:t>trial;</w:t>
      </w:r>
      <w:proofErr w:type="gramEnd"/>
    </w:p>
    <w:p w14:paraId="02BDFE9B" w14:textId="77777777" w:rsidR="001D6CB2" w:rsidRPr="000251C4" w:rsidRDefault="00E366C3" w:rsidP="00E366C3">
      <w:pPr>
        <w:pStyle w:val="ListParagraph"/>
        <w:numPr>
          <w:ilvl w:val="1"/>
          <w:numId w:val="1"/>
        </w:numPr>
        <w:rPr>
          <w:rFonts w:asciiTheme="majorHAnsi" w:hAnsiTheme="majorHAnsi" w:cstheme="majorHAnsi"/>
        </w:rPr>
      </w:pPr>
      <w:r w:rsidRPr="000251C4">
        <w:rPr>
          <w:rFonts w:asciiTheme="majorHAnsi" w:hAnsiTheme="majorHAnsi" w:cstheme="majorHAnsi"/>
        </w:rPr>
        <w:t xml:space="preserve">The clinical trial is not undertaken for the </w:t>
      </w:r>
      <w:proofErr w:type="gramStart"/>
      <w:r w:rsidRPr="000251C4">
        <w:rPr>
          <w:rFonts w:asciiTheme="majorHAnsi" w:hAnsiTheme="majorHAnsi" w:cstheme="majorHAnsi"/>
        </w:rPr>
        <w:t>purposes</w:t>
      </w:r>
      <w:proofErr w:type="gramEnd"/>
      <w:r w:rsidRPr="000251C4">
        <w:rPr>
          <w:rFonts w:asciiTheme="majorHAnsi" w:hAnsiTheme="majorHAnsi" w:cstheme="majorHAnsi"/>
        </w:rPr>
        <w:t xml:space="preserve"> of discovering patentable inventions or technology and the</w:t>
      </w:r>
      <w:r w:rsidR="009A0357" w:rsidRPr="000251C4">
        <w:rPr>
          <w:rFonts w:asciiTheme="majorHAnsi" w:hAnsiTheme="majorHAnsi" w:cstheme="majorHAnsi"/>
        </w:rPr>
        <w:t xml:space="preserve"> </w:t>
      </w:r>
      <w:r w:rsidRPr="000251C4">
        <w:rPr>
          <w:rFonts w:asciiTheme="majorHAnsi" w:hAnsiTheme="majorHAnsi" w:cstheme="majorHAnsi"/>
        </w:rPr>
        <w:t>possibility of such a discovery is remote; and</w:t>
      </w:r>
    </w:p>
    <w:p w14:paraId="50A17B1B" w14:textId="0E6639A4" w:rsidR="00E366C3" w:rsidRDefault="00E366C3" w:rsidP="00E366C3">
      <w:pPr>
        <w:pStyle w:val="ListParagraph"/>
        <w:numPr>
          <w:ilvl w:val="1"/>
          <w:numId w:val="1"/>
        </w:numPr>
        <w:rPr>
          <w:rFonts w:asciiTheme="majorHAnsi" w:hAnsiTheme="majorHAnsi" w:cstheme="majorHAnsi"/>
        </w:rPr>
      </w:pPr>
      <w:r w:rsidRPr="000251C4">
        <w:rPr>
          <w:rFonts w:asciiTheme="majorHAnsi" w:hAnsiTheme="majorHAnsi" w:cstheme="majorHAnsi"/>
        </w:rPr>
        <w:t>The University retains the right to publish the results of the clinical trial.</w:t>
      </w:r>
    </w:p>
    <w:p w14:paraId="333CF7E3" w14:textId="77777777" w:rsidR="003E1B73" w:rsidRDefault="003E1B73" w:rsidP="003E1B73">
      <w:pPr>
        <w:pStyle w:val="ListParagraph"/>
        <w:ind w:left="1440"/>
        <w:rPr>
          <w:rFonts w:asciiTheme="majorHAnsi" w:hAnsiTheme="majorHAnsi" w:cstheme="majorHAnsi"/>
        </w:rPr>
      </w:pPr>
    </w:p>
    <w:p w14:paraId="03F6805C" w14:textId="77777777" w:rsidR="005B4B4A" w:rsidRDefault="003E1B73" w:rsidP="005B4B4A">
      <w:pPr>
        <w:pStyle w:val="ListParagraph"/>
        <w:numPr>
          <w:ilvl w:val="0"/>
          <w:numId w:val="1"/>
        </w:numPr>
        <w:rPr>
          <w:rFonts w:asciiTheme="majorHAnsi" w:hAnsiTheme="majorHAnsi" w:cstheme="majorHAnsi"/>
        </w:rPr>
      </w:pPr>
      <w:r w:rsidRPr="005B4B4A">
        <w:rPr>
          <w:rFonts w:asciiTheme="majorHAnsi" w:hAnsiTheme="majorHAnsi" w:cstheme="majorHAnsi"/>
        </w:rPr>
        <w:t>Output Contracts</w:t>
      </w:r>
    </w:p>
    <w:p w14:paraId="79696A6F" w14:textId="77777777" w:rsidR="005B4B4A" w:rsidRDefault="005B4B4A" w:rsidP="005B4B4A">
      <w:pPr>
        <w:pStyle w:val="ListParagraph"/>
        <w:rPr>
          <w:rFonts w:asciiTheme="majorHAnsi" w:hAnsiTheme="majorHAnsi" w:cstheme="majorHAnsi"/>
        </w:rPr>
      </w:pPr>
    </w:p>
    <w:p w14:paraId="7BAE40DE" w14:textId="345D8CFC" w:rsidR="005B4B4A" w:rsidRDefault="003E1B73" w:rsidP="005B4B4A">
      <w:pPr>
        <w:pStyle w:val="ListParagraph"/>
        <w:rPr>
          <w:rFonts w:asciiTheme="majorHAnsi" w:hAnsiTheme="majorHAnsi" w:cstheme="majorHAnsi"/>
        </w:rPr>
      </w:pPr>
      <w:proofErr w:type="gramStart"/>
      <w:r w:rsidRPr="005B4B4A">
        <w:rPr>
          <w:rFonts w:asciiTheme="majorHAnsi" w:hAnsiTheme="majorHAnsi" w:cstheme="majorHAnsi"/>
        </w:rPr>
        <w:t>Similar to</w:t>
      </w:r>
      <w:proofErr w:type="gramEnd"/>
      <w:r w:rsidRPr="005B4B4A">
        <w:rPr>
          <w:rFonts w:asciiTheme="majorHAnsi" w:hAnsiTheme="majorHAnsi" w:cstheme="majorHAnsi"/>
        </w:rPr>
        <w:t xml:space="preserve"> Management Contracts, </w:t>
      </w:r>
      <w:r w:rsidR="005B4B4A" w:rsidRPr="005B4B4A">
        <w:rPr>
          <w:rFonts w:asciiTheme="majorHAnsi" w:hAnsiTheme="majorHAnsi" w:cstheme="majorHAnsi"/>
        </w:rPr>
        <w:t>Output Contracts are complex and except for the items listed below, should be evaluated on a case-by-case basis with the Office of Treasury.</w:t>
      </w:r>
    </w:p>
    <w:p w14:paraId="157C34B1" w14:textId="77777777" w:rsidR="00DC3882" w:rsidRDefault="00DC3882" w:rsidP="005B4B4A">
      <w:pPr>
        <w:pStyle w:val="ListParagraph"/>
        <w:rPr>
          <w:rFonts w:asciiTheme="majorHAnsi" w:hAnsiTheme="majorHAnsi" w:cstheme="majorHAnsi"/>
        </w:rPr>
      </w:pPr>
    </w:p>
    <w:p w14:paraId="2E86B3CE" w14:textId="405FFAF1" w:rsidR="00A82777" w:rsidRDefault="00A82777" w:rsidP="00A82777">
      <w:pPr>
        <w:pStyle w:val="ListParagraph"/>
        <w:numPr>
          <w:ilvl w:val="1"/>
          <w:numId w:val="3"/>
        </w:numPr>
        <w:rPr>
          <w:rFonts w:asciiTheme="majorHAnsi" w:hAnsiTheme="majorHAnsi" w:cstheme="majorHAnsi"/>
        </w:rPr>
      </w:pPr>
      <w:r w:rsidRPr="00474396">
        <w:rPr>
          <w:rFonts w:asciiTheme="majorHAnsi" w:hAnsiTheme="majorHAnsi" w:cstheme="majorHAnsi"/>
        </w:rPr>
        <w:lastRenderedPageBreak/>
        <w:t xml:space="preserve">Small purchases of output.  An output contract for the use of a facility is not </w:t>
      </w:r>
      <w:proofErr w:type="gramStart"/>
      <w:r w:rsidRPr="00474396">
        <w:rPr>
          <w:rFonts w:asciiTheme="majorHAnsi" w:hAnsiTheme="majorHAnsi" w:cstheme="majorHAnsi"/>
        </w:rPr>
        <w:t>taken into account</w:t>
      </w:r>
      <w:proofErr w:type="gramEnd"/>
      <w:r w:rsidRPr="00474396">
        <w:rPr>
          <w:rFonts w:asciiTheme="majorHAnsi" w:hAnsiTheme="majorHAnsi" w:cstheme="majorHAnsi"/>
        </w:rPr>
        <w:t xml:space="preserve"> under the private business tests if the average annual payments to be made under the contract do not exceed 1 percent of the average annual debt service on all outstanding tax-exempt bonds issued to finance the facility, determined as of the effective date of the contract.</w:t>
      </w:r>
    </w:p>
    <w:p w14:paraId="6A66D570" w14:textId="77777777" w:rsidR="00AD485F" w:rsidRPr="00474396" w:rsidRDefault="00AD485F" w:rsidP="00AD485F">
      <w:pPr>
        <w:pStyle w:val="ListParagraph"/>
        <w:ind w:left="1440"/>
        <w:rPr>
          <w:rFonts w:asciiTheme="majorHAnsi" w:hAnsiTheme="majorHAnsi" w:cstheme="majorHAnsi"/>
        </w:rPr>
      </w:pPr>
    </w:p>
    <w:p w14:paraId="31B42D7B" w14:textId="4E409F68" w:rsidR="00A82777" w:rsidRPr="00A82777" w:rsidRDefault="00A82777" w:rsidP="00474396">
      <w:pPr>
        <w:pStyle w:val="ListParagraph"/>
        <w:numPr>
          <w:ilvl w:val="1"/>
          <w:numId w:val="3"/>
        </w:numPr>
        <w:rPr>
          <w:rFonts w:asciiTheme="majorHAnsi" w:hAnsiTheme="majorHAnsi" w:cstheme="majorHAnsi"/>
        </w:rPr>
      </w:pPr>
      <w:r w:rsidRPr="00A82777">
        <w:rPr>
          <w:rFonts w:asciiTheme="majorHAnsi" w:hAnsiTheme="majorHAnsi" w:cstheme="majorHAnsi"/>
        </w:rPr>
        <w:t xml:space="preserve">Short-term output contracts.  An output contract with a nongovernmental person is not </w:t>
      </w:r>
      <w:proofErr w:type="gramStart"/>
      <w:r w:rsidRPr="00A82777">
        <w:rPr>
          <w:rFonts w:asciiTheme="majorHAnsi" w:hAnsiTheme="majorHAnsi" w:cstheme="majorHAnsi"/>
        </w:rPr>
        <w:t>taken into account</w:t>
      </w:r>
      <w:proofErr w:type="gramEnd"/>
      <w:r w:rsidRPr="00A82777">
        <w:rPr>
          <w:rFonts w:asciiTheme="majorHAnsi" w:hAnsiTheme="majorHAnsi" w:cstheme="majorHAnsi"/>
        </w:rPr>
        <w:t xml:space="preserve"> under the private business tests if</w:t>
      </w:r>
      <w:r w:rsidR="00F025F9">
        <w:rPr>
          <w:rFonts w:asciiTheme="majorHAnsi" w:hAnsiTheme="majorHAnsi" w:cstheme="majorHAnsi"/>
        </w:rPr>
        <w:t>:</w:t>
      </w:r>
    </w:p>
    <w:p w14:paraId="68419DED" w14:textId="77777777" w:rsidR="00A82777" w:rsidRPr="00A82777" w:rsidRDefault="00A82777" w:rsidP="00A82777">
      <w:pPr>
        <w:pStyle w:val="ListParagraph"/>
        <w:rPr>
          <w:rFonts w:asciiTheme="majorHAnsi" w:hAnsiTheme="majorHAnsi" w:cstheme="majorHAnsi"/>
        </w:rPr>
      </w:pPr>
    </w:p>
    <w:p w14:paraId="3854698F" w14:textId="6E7EB618" w:rsidR="00A82777" w:rsidRPr="00A82777" w:rsidRDefault="00A82777" w:rsidP="00474396">
      <w:pPr>
        <w:pStyle w:val="ListParagraph"/>
        <w:numPr>
          <w:ilvl w:val="2"/>
          <w:numId w:val="3"/>
        </w:numPr>
        <w:rPr>
          <w:rFonts w:asciiTheme="majorHAnsi" w:hAnsiTheme="majorHAnsi" w:cstheme="majorHAnsi"/>
        </w:rPr>
      </w:pPr>
      <w:r w:rsidRPr="00A82777">
        <w:rPr>
          <w:rFonts w:asciiTheme="majorHAnsi" w:hAnsiTheme="majorHAnsi" w:cstheme="majorHAnsi"/>
        </w:rPr>
        <w:t xml:space="preserve">The </w:t>
      </w:r>
      <w:proofErr w:type="gramStart"/>
      <w:r w:rsidRPr="00A82777">
        <w:rPr>
          <w:rFonts w:asciiTheme="majorHAnsi" w:hAnsiTheme="majorHAnsi" w:cstheme="majorHAnsi"/>
        </w:rPr>
        <w:t>term</w:t>
      </w:r>
      <w:proofErr w:type="gramEnd"/>
      <w:r w:rsidRPr="00A82777">
        <w:rPr>
          <w:rFonts w:asciiTheme="majorHAnsi" w:hAnsiTheme="majorHAnsi" w:cstheme="majorHAnsi"/>
        </w:rPr>
        <w:t xml:space="preserve"> of the contract, including all renewal options, </w:t>
      </w:r>
      <w:proofErr w:type="gramStart"/>
      <w:r w:rsidRPr="00A82777">
        <w:rPr>
          <w:rFonts w:asciiTheme="majorHAnsi" w:hAnsiTheme="majorHAnsi" w:cstheme="majorHAnsi"/>
        </w:rPr>
        <w:t>is</w:t>
      </w:r>
      <w:proofErr w:type="gramEnd"/>
      <w:r w:rsidRPr="00A82777">
        <w:rPr>
          <w:rFonts w:asciiTheme="majorHAnsi" w:hAnsiTheme="majorHAnsi" w:cstheme="majorHAnsi"/>
        </w:rPr>
        <w:t xml:space="preserve"> not longer than 3 </w:t>
      </w:r>
      <w:proofErr w:type="gramStart"/>
      <w:r w:rsidRPr="00A82777">
        <w:rPr>
          <w:rFonts w:asciiTheme="majorHAnsi" w:hAnsiTheme="majorHAnsi" w:cstheme="majorHAnsi"/>
        </w:rPr>
        <w:t>years;</w:t>
      </w:r>
      <w:proofErr w:type="gramEnd"/>
    </w:p>
    <w:p w14:paraId="19627256" w14:textId="77777777" w:rsidR="00A82777" w:rsidRPr="00A82777" w:rsidRDefault="00A82777" w:rsidP="00A82777">
      <w:pPr>
        <w:pStyle w:val="ListParagraph"/>
        <w:rPr>
          <w:rFonts w:asciiTheme="majorHAnsi" w:hAnsiTheme="majorHAnsi" w:cstheme="majorHAnsi"/>
        </w:rPr>
      </w:pPr>
    </w:p>
    <w:p w14:paraId="70C9097B" w14:textId="4377BA94" w:rsidR="00A82777" w:rsidRPr="00A82777" w:rsidRDefault="00A82777" w:rsidP="00474396">
      <w:pPr>
        <w:pStyle w:val="ListParagraph"/>
        <w:numPr>
          <w:ilvl w:val="2"/>
          <w:numId w:val="3"/>
        </w:numPr>
        <w:rPr>
          <w:rFonts w:asciiTheme="majorHAnsi" w:hAnsiTheme="majorHAnsi" w:cstheme="majorHAnsi"/>
        </w:rPr>
      </w:pPr>
      <w:r w:rsidRPr="00A82777">
        <w:rPr>
          <w:rFonts w:asciiTheme="majorHAnsi" w:hAnsiTheme="majorHAnsi" w:cstheme="majorHAnsi"/>
        </w:rPr>
        <w:t xml:space="preserve">The contract either is a negotiated, arm's-length arrangement that </w:t>
      </w:r>
      <w:proofErr w:type="gramStart"/>
      <w:r w:rsidRPr="00A82777">
        <w:rPr>
          <w:rFonts w:asciiTheme="majorHAnsi" w:hAnsiTheme="majorHAnsi" w:cstheme="majorHAnsi"/>
        </w:rPr>
        <w:t>provides for</w:t>
      </w:r>
      <w:proofErr w:type="gramEnd"/>
      <w:r w:rsidRPr="00A82777">
        <w:rPr>
          <w:rFonts w:asciiTheme="majorHAnsi" w:hAnsiTheme="majorHAnsi" w:cstheme="majorHAnsi"/>
        </w:rPr>
        <w:t xml:space="preserve"> compensation at fair market value, or is based on generally applicable and uniformly applied rates; and</w:t>
      </w:r>
    </w:p>
    <w:p w14:paraId="6B7DB562" w14:textId="77777777" w:rsidR="00A82777" w:rsidRPr="00A82777" w:rsidRDefault="00A82777" w:rsidP="00A82777">
      <w:pPr>
        <w:pStyle w:val="ListParagraph"/>
        <w:rPr>
          <w:rFonts w:asciiTheme="majorHAnsi" w:hAnsiTheme="majorHAnsi" w:cstheme="majorHAnsi"/>
        </w:rPr>
      </w:pPr>
    </w:p>
    <w:p w14:paraId="50A45AA0" w14:textId="02497864" w:rsidR="00A82777" w:rsidRPr="00A82777" w:rsidRDefault="00A82777" w:rsidP="00474396">
      <w:pPr>
        <w:pStyle w:val="ListParagraph"/>
        <w:numPr>
          <w:ilvl w:val="2"/>
          <w:numId w:val="3"/>
        </w:numPr>
        <w:rPr>
          <w:rFonts w:asciiTheme="majorHAnsi" w:hAnsiTheme="majorHAnsi" w:cstheme="majorHAnsi"/>
        </w:rPr>
      </w:pPr>
      <w:r w:rsidRPr="00A82777">
        <w:rPr>
          <w:rFonts w:asciiTheme="majorHAnsi" w:hAnsiTheme="majorHAnsi" w:cstheme="majorHAnsi"/>
        </w:rPr>
        <w:t xml:space="preserve">The output facility is not financed for </w:t>
      </w:r>
      <w:proofErr w:type="gramStart"/>
      <w:r w:rsidRPr="00A82777">
        <w:rPr>
          <w:rFonts w:asciiTheme="majorHAnsi" w:hAnsiTheme="majorHAnsi" w:cstheme="majorHAnsi"/>
        </w:rPr>
        <w:t>a principal</w:t>
      </w:r>
      <w:proofErr w:type="gramEnd"/>
      <w:r w:rsidRPr="00A82777">
        <w:rPr>
          <w:rFonts w:asciiTheme="majorHAnsi" w:hAnsiTheme="majorHAnsi" w:cstheme="majorHAnsi"/>
        </w:rPr>
        <w:t xml:space="preserve"> purpose of providing that facility for use by that </w:t>
      </w:r>
      <w:proofErr w:type="gramStart"/>
      <w:r w:rsidRPr="00A82777">
        <w:rPr>
          <w:rFonts w:asciiTheme="majorHAnsi" w:hAnsiTheme="majorHAnsi" w:cstheme="majorHAnsi"/>
        </w:rPr>
        <w:t>nongovernmental</w:t>
      </w:r>
      <w:proofErr w:type="gramEnd"/>
      <w:r w:rsidRPr="00A82777">
        <w:rPr>
          <w:rFonts w:asciiTheme="majorHAnsi" w:hAnsiTheme="majorHAnsi" w:cstheme="majorHAnsi"/>
        </w:rPr>
        <w:t xml:space="preserve"> person.</w:t>
      </w:r>
    </w:p>
    <w:p w14:paraId="4C3586DD" w14:textId="77777777" w:rsidR="00A82777" w:rsidRPr="00A82777" w:rsidRDefault="00A82777" w:rsidP="00A82777">
      <w:pPr>
        <w:pStyle w:val="ListParagraph"/>
        <w:rPr>
          <w:rFonts w:asciiTheme="majorHAnsi" w:hAnsiTheme="majorHAnsi" w:cstheme="majorHAnsi"/>
        </w:rPr>
      </w:pPr>
    </w:p>
    <w:p w14:paraId="612DB5CE" w14:textId="107DF846" w:rsidR="00A82777" w:rsidRDefault="00053376" w:rsidP="00E1502B">
      <w:pPr>
        <w:pStyle w:val="ListParagraph"/>
        <w:rPr>
          <w:rFonts w:asciiTheme="majorHAnsi" w:hAnsiTheme="majorHAnsi" w:cstheme="majorHAnsi"/>
        </w:rPr>
      </w:pPr>
      <w:r>
        <w:rPr>
          <w:rFonts w:asciiTheme="majorHAnsi" w:hAnsiTheme="majorHAnsi" w:cstheme="majorHAnsi"/>
        </w:rPr>
        <w:t>Outside of items a. and b. above, th</w:t>
      </w:r>
      <w:r w:rsidR="00BC1407">
        <w:rPr>
          <w:rFonts w:asciiTheme="majorHAnsi" w:hAnsiTheme="majorHAnsi" w:cstheme="majorHAnsi"/>
        </w:rPr>
        <w:t>ere are additional exceptions for swapping and pooling arrangements as well</w:t>
      </w:r>
      <w:r w:rsidR="00E50519">
        <w:rPr>
          <w:rFonts w:asciiTheme="majorHAnsi" w:hAnsiTheme="majorHAnsi" w:cstheme="majorHAnsi"/>
        </w:rPr>
        <w:t xml:space="preserve"> as if </w:t>
      </w:r>
      <w:r w:rsidR="0029680C">
        <w:rPr>
          <w:rFonts w:asciiTheme="majorHAnsi" w:hAnsiTheme="majorHAnsi" w:cstheme="majorHAnsi"/>
        </w:rPr>
        <w:t xml:space="preserve">the </w:t>
      </w:r>
      <w:r w:rsidR="00A132D1">
        <w:rPr>
          <w:rFonts w:asciiTheme="majorHAnsi" w:hAnsiTheme="majorHAnsi" w:cstheme="majorHAnsi"/>
        </w:rPr>
        <w:t>U</w:t>
      </w:r>
      <w:r w:rsidR="0029680C">
        <w:rPr>
          <w:rFonts w:asciiTheme="majorHAnsi" w:hAnsiTheme="majorHAnsi" w:cstheme="majorHAnsi"/>
        </w:rPr>
        <w:t xml:space="preserve">niversity is acting solely as a conduit for other </w:t>
      </w:r>
      <w:r w:rsidR="00463440">
        <w:rPr>
          <w:rFonts w:asciiTheme="majorHAnsi" w:hAnsiTheme="majorHAnsi" w:cstheme="majorHAnsi"/>
        </w:rPr>
        <w:t>governmental</w:t>
      </w:r>
      <w:r w:rsidR="00A7700C">
        <w:rPr>
          <w:rFonts w:asciiTheme="majorHAnsi" w:hAnsiTheme="majorHAnsi" w:cstheme="majorHAnsi"/>
        </w:rPr>
        <w:t xml:space="preserve"> </w:t>
      </w:r>
      <w:r w:rsidR="00463440">
        <w:rPr>
          <w:rFonts w:asciiTheme="majorHAnsi" w:hAnsiTheme="majorHAnsi" w:cstheme="majorHAnsi"/>
        </w:rPr>
        <w:t xml:space="preserve">units.  These </w:t>
      </w:r>
      <w:r w:rsidR="00F65EBE">
        <w:rPr>
          <w:rFonts w:asciiTheme="majorHAnsi" w:hAnsiTheme="majorHAnsi" w:cstheme="majorHAnsi"/>
        </w:rPr>
        <w:t xml:space="preserve">exceptions </w:t>
      </w:r>
      <w:r w:rsidR="00463440">
        <w:rPr>
          <w:rFonts w:asciiTheme="majorHAnsi" w:hAnsiTheme="majorHAnsi" w:cstheme="majorHAnsi"/>
        </w:rPr>
        <w:t xml:space="preserve">are more detailed in nature </w:t>
      </w:r>
      <w:r w:rsidR="00F65EBE">
        <w:rPr>
          <w:rFonts w:asciiTheme="majorHAnsi" w:hAnsiTheme="majorHAnsi" w:cstheme="majorHAnsi"/>
        </w:rPr>
        <w:t xml:space="preserve">and should be addressed with the Office of Treasury </w:t>
      </w:r>
      <w:r>
        <w:rPr>
          <w:rFonts w:asciiTheme="majorHAnsi" w:hAnsiTheme="majorHAnsi" w:cstheme="majorHAnsi"/>
        </w:rPr>
        <w:t>if</w:t>
      </w:r>
      <w:r w:rsidR="00E1502B">
        <w:rPr>
          <w:rFonts w:asciiTheme="majorHAnsi" w:hAnsiTheme="majorHAnsi" w:cstheme="majorHAnsi"/>
        </w:rPr>
        <w:t xml:space="preserve"> these situations are </w:t>
      </w:r>
      <w:r w:rsidR="00B531A2">
        <w:rPr>
          <w:rFonts w:asciiTheme="majorHAnsi" w:hAnsiTheme="majorHAnsi" w:cstheme="majorHAnsi"/>
        </w:rPr>
        <w:t xml:space="preserve">potentially </w:t>
      </w:r>
      <w:r w:rsidR="00E1502B">
        <w:rPr>
          <w:rFonts w:asciiTheme="majorHAnsi" w:hAnsiTheme="majorHAnsi" w:cstheme="majorHAnsi"/>
        </w:rPr>
        <w:t>present.</w:t>
      </w:r>
      <w:r>
        <w:rPr>
          <w:rFonts w:asciiTheme="majorHAnsi" w:hAnsiTheme="majorHAnsi" w:cstheme="majorHAnsi"/>
        </w:rPr>
        <w:t xml:space="preserve"> </w:t>
      </w:r>
    </w:p>
    <w:p w14:paraId="7AD0EA1A" w14:textId="77777777" w:rsidR="00BA0B57" w:rsidRDefault="00BA0B57" w:rsidP="00E1502B">
      <w:pPr>
        <w:pStyle w:val="ListParagraph"/>
        <w:rPr>
          <w:rFonts w:asciiTheme="majorHAnsi" w:hAnsiTheme="majorHAnsi" w:cstheme="majorHAnsi"/>
        </w:rPr>
      </w:pPr>
    </w:p>
    <w:p w14:paraId="7FB2CBF6" w14:textId="77777777" w:rsidR="00BA0B57" w:rsidRPr="00BA0B57" w:rsidRDefault="00BA0B57" w:rsidP="00BA0B57">
      <w:pPr>
        <w:rPr>
          <w:rFonts w:asciiTheme="majorHAnsi" w:hAnsiTheme="majorHAnsi" w:cstheme="majorHAnsi"/>
          <w:b/>
          <w:bCs/>
        </w:rPr>
      </w:pPr>
      <w:r w:rsidRPr="00BA0B57">
        <w:rPr>
          <w:rFonts w:asciiTheme="majorHAnsi" w:hAnsiTheme="majorHAnsi" w:cstheme="majorHAnsi"/>
          <w:b/>
          <w:bCs/>
        </w:rPr>
        <w:t>Conclusion</w:t>
      </w:r>
    </w:p>
    <w:p w14:paraId="1C70B1A7" w14:textId="75BE3879" w:rsidR="00BA0B57" w:rsidRPr="00CE2C20" w:rsidRDefault="00BA0B57" w:rsidP="00CE2C20">
      <w:pPr>
        <w:rPr>
          <w:rFonts w:asciiTheme="majorHAnsi" w:hAnsiTheme="majorHAnsi" w:cstheme="majorHAnsi"/>
        </w:rPr>
      </w:pPr>
      <w:r w:rsidRPr="00BA0B57">
        <w:rPr>
          <w:rFonts w:asciiTheme="majorHAnsi" w:hAnsiTheme="majorHAnsi" w:cstheme="majorHAnsi"/>
        </w:rPr>
        <w:t xml:space="preserve">Maintaining compliance with tax-exempt bond regulations is essential for the University to protect its financial health and reputation. The complexities surrounding private business use, management contracts, research agreements, and the tracking of these uses require ongoing vigilance. By adhering to </w:t>
      </w:r>
      <w:r w:rsidR="00CE2C20">
        <w:rPr>
          <w:rFonts w:asciiTheme="majorHAnsi" w:hAnsiTheme="majorHAnsi" w:cstheme="majorHAnsi"/>
        </w:rPr>
        <w:t>F</w:t>
      </w:r>
      <w:r w:rsidRPr="00BA0B57">
        <w:rPr>
          <w:rFonts w:asciiTheme="majorHAnsi" w:hAnsiTheme="majorHAnsi" w:cstheme="majorHAnsi"/>
        </w:rPr>
        <w:t>ederal and state regulatory requirements and closely monitoring private business use, the University ensures that it can continue to access favorable financing through tax-exempt bonds, avoiding potential penalties or reclassification of bonds.</w:t>
      </w:r>
    </w:p>
    <w:p w14:paraId="2856FEEF" w14:textId="5E712DDE" w:rsidR="00BA0B57" w:rsidRPr="00CE2C20" w:rsidRDefault="00BA0B57" w:rsidP="00CE2C20">
      <w:pPr>
        <w:rPr>
          <w:rFonts w:asciiTheme="majorHAnsi" w:hAnsiTheme="majorHAnsi" w:cstheme="majorHAnsi"/>
        </w:rPr>
      </w:pPr>
      <w:r w:rsidRPr="00BA0B57">
        <w:rPr>
          <w:rFonts w:asciiTheme="majorHAnsi" w:hAnsiTheme="majorHAnsi" w:cstheme="majorHAnsi"/>
        </w:rPr>
        <w:t>The guidelines outlined in this document are designed to help University personnel identify, track, and report private business use. However, this guide is not exhaustive. University departments, campuses, and affiliated entities should work in collaboration with the Office of Treasury to address any uncertainties or unique situations that may arise. Regular reviews, clear communication, and a proactive approach to compliance will ensure the University’s continued success in managing its tax-exempt financing obligations.</w:t>
      </w:r>
    </w:p>
    <w:p w14:paraId="3413516A" w14:textId="3D6BDB5E" w:rsidR="00BA0B57" w:rsidRPr="00BA0B57" w:rsidRDefault="00BA0B57" w:rsidP="00BA0B57">
      <w:pPr>
        <w:rPr>
          <w:rFonts w:asciiTheme="majorHAnsi" w:hAnsiTheme="majorHAnsi" w:cstheme="majorHAnsi"/>
        </w:rPr>
      </w:pPr>
      <w:r w:rsidRPr="00BA0B57">
        <w:rPr>
          <w:rFonts w:asciiTheme="majorHAnsi" w:hAnsiTheme="majorHAnsi" w:cstheme="majorHAnsi"/>
        </w:rPr>
        <w:t xml:space="preserve">For further clarification or assistance on specific projects, bond issues, or compliance measures, always consult the Office of Treasury. </w:t>
      </w:r>
    </w:p>
    <w:p w14:paraId="2EA5B7D0" w14:textId="66FB84A0" w:rsidR="00641AF6" w:rsidRPr="000251C4" w:rsidRDefault="00641AF6" w:rsidP="003E1B73">
      <w:pPr>
        <w:ind w:left="720"/>
        <w:rPr>
          <w:rFonts w:asciiTheme="majorHAnsi" w:hAnsiTheme="majorHAnsi" w:cstheme="majorHAnsi"/>
        </w:rPr>
      </w:pPr>
    </w:p>
    <w:p w14:paraId="5DFCA654" w14:textId="2FECD26A" w:rsidR="00E366C3" w:rsidRDefault="00E366C3" w:rsidP="0097167F">
      <w:pPr>
        <w:pStyle w:val="ListParagraph"/>
        <w:rPr>
          <w:rFonts w:asciiTheme="majorHAnsi" w:hAnsiTheme="majorHAnsi" w:cstheme="majorHAnsi"/>
        </w:rPr>
      </w:pPr>
    </w:p>
    <w:p w14:paraId="79E8BB7E" w14:textId="77777777" w:rsidR="00943B80" w:rsidRDefault="00943B80" w:rsidP="0097167F">
      <w:pPr>
        <w:pStyle w:val="ListParagraph"/>
        <w:rPr>
          <w:rFonts w:asciiTheme="majorHAnsi" w:hAnsiTheme="majorHAnsi" w:cstheme="majorHAnsi"/>
        </w:rPr>
      </w:pPr>
    </w:p>
    <w:p w14:paraId="3ED1A5C2" w14:textId="1A9FD5BC" w:rsidR="00943B80" w:rsidRDefault="00683071" w:rsidP="00943B80">
      <w:pPr>
        <w:pStyle w:val="ListParagraph"/>
        <w:jc w:val="center"/>
        <w:rPr>
          <w:rFonts w:asciiTheme="majorHAnsi" w:hAnsiTheme="majorHAnsi" w:cstheme="majorHAnsi"/>
          <w:b/>
          <w:bCs/>
        </w:rPr>
      </w:pPr>
      <w:r>
        <w:rPr>
          <w:rFonts w:asciiTheme="majorHAnsi" w:hAnsiTheme="majorHAnsi" w:cstheme="majorHAnsi"/>
          <w:b/>
          <w:bCs/>
        </w:rPr>
        <w:lastRenderedPageBreak/>
        <w:t>APPENDIX</w:t>
      </w:r>
    </w:p>
    <w:p w14:paraId="04051E6C" w14:textId="77777777" w:rsidR="00943B80" w:rsidRDefault="00943B80" w:rsidP="00943B80">
      <w:pPr>
        <w:pStyle w:val="ListParagraph"/>
        <w:jc w:val="center"/>
        <w:rPr>
          <w:rFonts w:asciiTheme="majorHAnsi" w:hAnsiTheme="majorHAnsi" w:cstheme="majorHAnsi"/>
          <w:b/>
          <w:bCs/>
        </w:rPr>
      </w:pPr>
    </w:p>
    <w:p w14:paraId="0E8165AF" w14:textId="77777777" w:rsidR="008D6458" w:rsidRPr="008D6458" w:rsidRDefault="008D6458" w:rsidP="008D6458">
      <w:pPr>
        <w:pStyle w:val="ListParagraph"/>
        <w:jc w:val="center"/>
        <w:rPr>
          <w:rFonts w:asciiTheme="majorHAnsi" w:hAnsiTheme="majorHAnsi" w:cstheme="majorHAnsi"/>
        </w:rPr>
      </w:pPr>
      <w:r w:rsidRPr="008D6458">
        <w:rPr>
          <w:rFonts w:asciiTheme="majorHAnsi" w:hAnsiTheme="majorHAnsi" w:cstheme="majorHAnsi"/>
        </w:rPr>
        <w:t>LIST OF OUTSTANDING TAX-EXEMPT BOND ISSUES COVERED</w:t>
      </w:r>
    </w:p>
    <w:p w14:paraId="0F262240" w14:textId="1526AEC3" w:rsidR="00943B80" w:rsidRDefault="008D6458" w:rsidP="008D6458">
      <w:pPr>
        <w:pStyle w:val="ListParagraph"/>
        <w:jc w:val="center"/>
        <w:rPr>
          <w:rFonts w:asciiTheme="majorHAnsi" w:hAnsiTheme="majorHAnsi" w:cstheme="majorHAnsi"/>
        </w:rPr>
      </w:pPr>
      <w:r w:rsidRPr="008D6458">
        <w:rPr>
          <w:rFonts w:asciiTheme="majorHAnsi" w:hAnsiTheme="majorHAnsi" w:cstheme="majorHAnsi"/>
        </w:rPr>
        <w:t>BY THIS COMPLIANCE PROCEDURE</w:t>
      </w:r>
    </w:p>
    <w:p w14:paraId="43ADF554" w14:textId="77777777" w:rsidR="003A4EFB" w:rsidRDefault="003A4EFB" w:rsidP="008D6458">
      <w:pPr>
        <w:pStyle w:val="ListParagraph"/>
        <w:jc w:val="center"/>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2873"/>
        <w:gridCol w:w="2862"/>
        <w:gridCol w:w="2895"/>
      </w:tblGrid>
      <w:tr w:rsidR="003A4EFB" w:rsidRPr="004F42B9" w14:paraId="16F4C8F6" w14:textId="77777777" w:rsidTr="00EF5550">
        <w:trPr>
          <w:trHeight w:val="665"/>
        </w:trPr>
        <w:tc>
          <w:tcPr>
            <w:tcW w:w="2873" w:type="dxa"/>
            <w:tcBorders>
              <w:bottom w:val="single" w:sz="4" w:space="0" w:color="auto"/>
            </w:tcBorders>
          </w:tcPr>
          <w:p w14:paraId="61AC80FE" w14:textId="77777777" w:rsidR="003A4EFB" w:rsidRPr="004F42B9" w:rsidRDefault="003A4EFB" w:rsidP="00EF5550">
            <w:pPr>
              <w:pStyle w:val="ListParagraph"/>
              <w:ind w:left="0"/>
              <w:rPr>
                <w:rFonts w:asciiTheme="majorHAnsi" w:hAnsiTheme="majorHAnsi" w:cstheme="majorHAnsi"/>
                <w:u w:val="single"/>
              </w:rPr>
            </w:pPr>
            <w:r w:rsidRPr="004F42B9">
              <w:rPr>
                <w:rFonts w:asciiTheme="majorHAnsi" w:hAnsiTheme="majorHAnsi" w:cstheme="majorHAnsi"/>
                <w:u w:val="single"/>
              </w:rPr>
              <w:t>ISSUE NAME</w:t>
            </w:r>
          </w:p>
        </w:tc>
        <w:tc>
          <w:tcPr>
            <w:tcW w:w="2862" w:type="dxa"/>
            <w:tcBorders>
              <w:bottom w:val="single" w:sz="4" w:space="0" w:color="auto"/>
            </w:tcBorders>
          </w:tcPr>
          <w:p w14:paraId="31DD6E03" w14:textId="77777777" w:rsidR="003A4EFB" w:rsidRPr="004F42B9" w:rsidRDefault="003A4EFB" w:rsidP="00EF5550">
            <w:pPr>
              <w:pStyle w:val="ListParagraph"/>
              <w:ind w:left="0"/>
              <w:jc w:val="center"/>
              <w:rPr>
                <w:rFonts w:asciiTheme="majorHAnsi" w:hAnsiTheme="majorHAnsi" w:cstheme="majorHAnsi"/>
                <w:u w:val="single"/>
              </w:rPr>
            </w:pPr>
            <w:r w:rsidRPr="004F42B9">
              <w:rPr>
                <w:rFonts w:asciiTheme="majorHAnsi" w:hAnsiTheme="majorHAnsi" w:cstheme="majorHAnsi"/>
                <w:u w:val="single"/>
              </w:rPr>
              <w:t>DATE OF ISSUE</w:t>
            </w:r>
          </w:p>
        </w:tc>
        <w:tc>
          <w:tcPr>
            <w:tcW w:w="2895" w:type="dxa"/>
            <w:tcBorders>
              <w:bottom w:val="single" w:sz="4" w:space="0" w:color="auto"/>
            </w:tcBorders>
          </w:tcPr>
          <w:p w14:paraId="16D2257C" w14:textId="77777777" w:rsidR="003A4EFB" w:rsidRPr="004F42B9" w:rsidRDefault="003A4EFB" w:rsidP="00EF5550">
            <w:pPr>
              <w:pStyle w:val="ListParagraph"/>
              <w:ind w:left="0"/>
              <w:jc w:val="center"/>
              <w:rPr>
                <w:rFonts w:asciiTheme="majorHAnsi" w:hAnsiTheme="majorHAnsi" w:cstheme="majorHAnsi"/>
                <w:u w:val="single"/>
              </w:rPr>
            </w:pPr>
            <w:r w:rsidRPr="004F42B9">
              <w:rPr>
                <w:rFonts w:asciiTheme="majorHAnsi" w:hAnsiTheme="majorHAnsi" w:cstheme="majorHAnsi"/>
                <w:u w:val="single"/>
              </w:rPr>
              <w:t>ORIGINAL PRINCIPAL AMOUNT</w:t>
            </w:r>
          </w:p>
        </w:tc>
      </w:tr>
      <w:tr w:rsidR="003A4EFB" w14:paraId="3787F4C9" w14:textId="77777777" w:rsidTr="00EF5550">
        <w:tc>
          <w:tcPr>
            <w:tcW w:w="2873" w:type="dxa"/>
            <w:tcBorders>
              <w:top w:val="single" w:sz="4" w:space="0" w:color="auto"/>
            </w:tcBorders>
          </w:tcPr>
          <w:p w14:paraId="47CE40B6" w14:textId="77777777" w:rsidR="003A4EFB" w:rsidRPr="00E10116" w:rsidRDefault="003A4EFB" w:rsidP="00EF5550">
            <w:pPr>
              <w:pStyle w:val="ListParagraph"/>
              <w:ind w:left="0"/>
              <w:rPr>
                <w:rFonts w:asciiTheme="majorHAnsi" w:hAnsiTheme="majorHAnsi" w:cstheme="majorHAnsi"/>
              </w:rPr>
            </w:pPr>
            <w:r w:rsidRPr="00C96660">
              <w:rPr>
                <w:rFonts w:asciiTheme="majorHAnsi" w:hAnsiTheme="majorHAnsi" w:cstheme="majorHAnsi"/>
              </w:rPr>
              <w:t>Taxable System Facilities Revenue Bonds, Series 2009A (Build America Bonds)</w:t>
            </w:r>
          </w:p>
          <w:p w14:paraId="4E955A90" w14:textId="77777777" w:rsidR="003A4EFB" w:rsidRDefault="003A4EFB" w:rsidP="00EF5550">
            <w:pPr>
              <w:pStyle w:val="ListParagraph"/>
              <w:ind w:left="0"/>
              <w:rPr>
                <w:rFonts w:asciiTheme="majorHAnsi" w:hAnsiTheme="majorHAnsi" w:cstheme="majorHAnsi"/>
              </w:rPr>
            </w:pPr>
          </w:p>
        </w:tc>
        <w:tc>
          <w:tcPr>
            <w:tcW w:w="2862" w:type="dxa"/>
            <w:tcBorders>
              <w:top w:val="single" w:sz="4" w:space="0" w:color="auto"/>
            </w:tcBorders>
          </w:tcPr>
          <w:p w14:paraId="52C014FD"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July 23, 2009</w:t>
            </w:r>
          </w:p>
        </w:tc>
        <w:tc>
          <w:tcPr>
            <w:tcW w:w="2895" w:type="dxa"/>
            <w:tcBorders>
              <w:top w:val="single" w:sz="4" w:space="0" w:color="auto"/>
            </w:tcBorders>
          </w:tcPr>
          <w:p w14:paraId="2DF1FD1C"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$256,300,000</w:t>
            </w:r>
          </w:p>
        </w:tc>
      </w:tr>
      <w:tr w:rsidR="003A4EFB" w14:paraId="7FEAC4C7" w14:textId="77777777" w:rsidTr="00EF5550">
        <w:trPr>
          <w:trHeight w:val="980"/>
        </w:trPr>
        <w:tc>
          <w:tcPr>
            <w:tcW w:w="2873" w:type="dxa"/>
          </w:tcPr>
          <w:p w14:paraId="75C6A626" w14:textId="77777777" w:rsidR="003A4EFB" w:rsidRDefault="003A4EFB" w:rsidP="00EF5550">
            <w:pPr>
              <w:pStyle w:val="ListParagraph"/>
              <w:ind w:left="0"/>
              <w:rPr>
                <w:rFonts w:asciiTheme="majorHAnsi" w:hAnsiTheme="majorHAnsi" w:cstheme="majorHAnsi"/>
              </w:rPr>
            </w:pPr>
            <w:r w:rsidRPr="00C96660">
              <w:rPr>
                <w:rFonts w:asciiTheme="majorHAnsi" w:hAnsiTheme="majorHAnsi" w:cstheme="majorHAnsi"/>
              </w:rPr>
              <w:t>Taxable System Facilities Revenue Bonds, Series 2010A (Build America Bonds</w:t>
            </w:r>
            <w:r>
              <w:rPr>
                <w:rFonts w:asciiTheme="majorHAnsi" w:hAnsiTheme="majorHAnsi" w:cstheme="majorHAnsi"/>
              </w:rPr>
              <w:t>)</w:t>
            </w:r>
          </w:p>
        </w:tc>
        <w:tc>
          <w:tcPr>
            <w:tcW w:w="2862" w:type="dxa"/>
          </w:tcPr>
          <w:p w14:paraId="60E0E58E"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December 21 ,2010</w:t>
            </w:r>
          </w:p>
        </w:tc>
        <w:tc>
          <w:tcPr>
            <w:tcW w:w="2895" w:type="dxa"/>
          </w:tcPr>
          <w:p w14:paraId="2ED36C34"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$252,285,000</w:t>
            </w:r>
          </w:p>
        </w:tc>
      </w:tr>
      <w:tr w:rsidR="003A4EFB" w14:paraId="7C36F91F" w14:textId="77777777" w:rsidTr="00EF5550">
        <w:tc>
          <w:tcPr>
            <w:tcW w:w="2873" w:type="dxa"/>
          </w:tcPr>
          <w:p w14:paraId="540B7908" w14:textId="77777777" w:rsidR="003A4EFB" w:rsidRPr="00C96660" w:rsidRDefault="003A4EFB" w:rsidP="00EF5550">
            <w:pPr>
              <w:pStyle w:val="ListParagraph"/>
              <w:ind w:left="0"/>
              <w:rPr>
                <w:rFonts w:asciiTheme="majorHAnsi" w:hAnsiTheme="majorHAnsi" w:cstheme="majorHAnsi"/>
              </w:rPr>
            </w:pPr>
            <w:r w:rsidRPr="00C96660">
              <w:rPr>
                <w:rFonts w:asciiTheme="majorHAnsi" w:hAnsiTheme="majorHAnsi" w:cstheme="majorHAnsi"/>
              </w:rPr>
              <w:t>System Facilities Revenue Bonds, Series 2020B</w:t>
            </w:r>
          </w:p>
          <w:p w14:paraId="572F0C62" w14:textId="77777777" w:rsidR="003A4EFB" w:rsidRDefault="003A4EFB" w:rsidP="00EF5550">
            <w:pPr>
              <w:pStyle w:val="ListParagraph"/>
              <w:ind w:left="0"/>
              <w:rPr>
                <w:rFonts w:asciiTheme="majorHAnsi" w:hAnsiTheme="majorHAnsi" w:cstheme="majorHAnsi"/>
              </w:rPr>
            </w:pPr>
          </w:p>
        </w:tc>
        <w:tc>
          <w:tcPr>
            <w:tcW w:w="2862" w:type="dxa"/>
          </w:tcPr>
          <w:p w14:paraId="42FAFBB2"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May 5, 2020</w:t>
            </w:r>
          </w:p>
        </w:tc>
        <w:tc>
          <w:tcPr>
            <w:tcW w:w="2895" w:type="dxa"/>
          </w:tcPr>
          <w:p w14:paraId="3196AB50"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$190,200,000</w:t>
            </w:r>
          </w:p>
        </w:tc>
      </w:tr>
      <w:tr w:rsidR="003A4EFB" w14:paraId="09CD980C" w14:textId="77777777" w:rsidTr="00EF5550">
        <w:trPr>
          <w:trHeight w:val="773"/>
        </w:trPr>
        <w:tc>
          <w:tcPr>
            <w:tcW w:w="2873" w:type="dxa"/>
          </w:tcPr>
          <w:p w14:paraId="64000B07" w14:textId="77777777" w:rsidR="003A4EFB" w:rsidRDefault="003A4EFB" w:rsidP="00EF5550">
            <w:pPr>
              <w:pStyle w:val="ListParagraph"/>
              <w:ind w:left="0"/>
              <w:rPr>
                <w:rFonts w:asciiTheme="majorHAnsi" w:hAnsiTheme="majorHAnsi" w:cstheme="majorHAnsi"/>
              </w:rPr>
            </w:pPr>
            <w:r w:rsidRPr="00C96660">
              <w:rPr>
                <w:rFonts w:asciiTheme="majorHAnsi" w:hAnsiTheme="majorHAnsi" w:cstheme="majorHAnsi"/>
              </w:rPr>
              <w:t>System Facilities Revenue Bonds, Series 2024</w:t>
            </w:r>
          </w:p>
        </w:tc>
        <w:tc>
          <w:tcPr>
            <w:tcW w:w="2862" w:type="dxa"/>
          </w:tcPr>
          <w:p w14:paraId="70B3F39E"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September 18, 2024</w:t>
            </w:r>
          </w:p>
        </w:tc>
        <w:tc>
          <w:tcPr>
            <w:tcW w:w="2895" w:type="dxa"/>
          </w:tcPr>
          <w:p w14:paraId="4295D9B4"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$362,640,000</w:t>
            </w:r>
          </w:p>
        </w:tc>
      </w:tr>
      <w:tr w:rsidR="003A4EFB" w14:paraId="7514AC29" w14:textId="77777777" w:rsidTr="00EF5550">
        <w:trPr>
          <w:trHeight w:val="1250"/>
        </w:trPr>
        <w:tc>
          <w:tcPr>
            <w:tcW w:w="2873" w:type="dxa"/>
          </w:tcPr>
          <w:p w14:paraId="2F4ECD0B" w14:textId="77777777" w:rsidR="003A4EFB" w:rsidRPr="00C96660" w:rsidRDefault="003A4EFB" w:rsidP="00EF5550">
            <w:pPr>
              <w:pStyle w:val="ListParagraph"/>
              <w:ind w:left="0"/>
              <w:rPr>
                <w:rFonts w:asciiTheme="majorHAnsi" w:hAnsiTheme="majorHAnsi" w:cstheme="majorHAnsi"/>
              </w:rPr>
            </w:pPr>
            <w:r>
              <w:rPr>
                <w:rFonts w:asciiTheme="majorHAnsi" w:hAnsiTheme="majorHAnsi" w:cstheme="majorHAnsi"/>
              </w:rPr>
              <w:t>Commercial Paper Notes</w:t>
            </w:r>
          </w:p>
        </w:tc>
        <w:tc>
          <w:tcPr>
            <w:tcW w:w="2862" w:type="dxa"/>
          </w:tcPr>
          <w:p w14:paraId="7D1CD9D0" w14:textId="77777777" w:rsidR="003A4EFB" w:rsidRDefault="003A4EFB" w:rsidP="00EF5550">
            <w:pPr>
              <w:pStyle w:val="ListParagraph"/>
              <w:ind w:left="0"/>
              <w:jc w:val="center"/>
              <w:rPr>
                <w:rFonts w:asciiTheme="majorHAnsi" w:hAnsiTheme="majorHAnsi" w:cstheme="majorHAnsi"/>
              </w:rPr>
            </w:pPr>
          </w:p>
        </w:tc>
        <w:tc>
          <w:tcPr>
            <w:tcW w:w="2895" w:type="dxa"/>
          </w:tcPr>
          <w:p w14:paraId="56DCF0F4" w14:textId="77777777" w:rsidR="003A4EFB" w:rsidRDefault="003A4EFB" w:rsidP="00EF5550">
            <w:pPr>
              <w:pStyle w:val="ListParagraph"/>
              <w:ind w:left="0"/>
              <w:jc w:val="center"/>
              <w:rPr>
                <w:rFonts w:asciiTheme="majorHAnsi" w:hAnsiTheme="majorHAnsi" w:cstheme="majorHAnsi"/>
              </w:rPr>
            </w:pPr>
            <w:r>
              <w:rPr>
                <w:rFonts w:asciiTheme="majorHAnsi" w:hAnsiTheme="majorHAnsi" w:cstheme="majorHAnsi"/>
              </w:rPr>
              <w:t>Up to $375,000,000 authorized; amount outstanding will vary from time to time</w:t>
            </w:r>
          </w:p>
        </w:tc>
      </w:tr>
    </w:tbl>
    <w:p w14:paraId="15BF299F" w14:textId="77777777" w:rsidR="003A4EFB" w:rsidRDefault="003A4EFB" w:rsidP="008D6458">
      <w:pPr>
        <w:pStyle w:val="ListParagraph"/>
        <w:jc w:val="center"/>
        <w:rPr>
          <w:rFonts w:asciiTheme="majorHAnsi" w:hAnsiTheme="majorHAnsi" w:cstheme="majorHAnsi"/>
        </w:rPr>
      </w:pPr>
    </w:p>
    <w:p w14:paraId="7D20EC58" w14:textId="759DC65F" w:rsidR="00592811" w:rsidRDefault="00592811" w:rsidP="00592811">
      <w:pPr>
        <w:pStyle w:val="ListParagraph"/>
        <w:jc w:val="center"/>
        <w:rPr>
          <w:rFonts w:asciiTheme="majorHAnsi" w:hAnsiTheme="majorHAnsi" w:cstheme="majorHAnsi"/>
        </w:rPr>
      </w:pPr>
      <w:r w:rsidRPr="008D6458">
        <w:rPr>
          <w:rFonts w:asciiTheme="majorHAnsi" w:hAnsiTheme="majorHAnsi" w:cstheme="majorHAnsi"/>
        </w:rPr>
        <w:t xml:space="preserve">LIST OF </w:t>
      </w:r>
      <w:r w:rsidR="005C511F">
        <w:rPr>
          <w:rFonts w:asciiTheme="majorHAnsi" w:hAnsiTheme="majorHAnsi" w:cstheme="majorHAnsi"/>
        </w:rPr>
        <w:t>BOND FINANCED FACILITIES</w:t>
      </w:r>
    </w:p>
    <w:p w14:paraId="7317E952" w14:textId="77777777" w:rsidR="00592811" w:rsidRDefault="00592811" w:rsidP="00592811">
      <w:pPr>
        <w:pStyle w:val="ListParagraph"/>
        <w:jc w:val="center"/>
        <w:rPr>
          <w:rFonts w:asciiTheme="majorHAnsi" w:hAnsiTheme="majorHAnsi" w:cstheme="majorHAnsi"/>
        </w:rPr>
      </w:pPr>
    </w:p>
    <w:tbl>
      <w:tblPr>
        <w:tblStyle w:val="TableGrid"/>
        <w:tblW w:w="8635" w:type="dxa"/>
        <w:tblInd w:w="720" w:type="dxa"/>
        <w:tblLook w:val="04A0" w:firstRow="1" w:lastRow="0" w:firstColumn="1" w:lastColumn="0" w:noHBand="0" w:noVBand="1"/>
      </w:tblPr>
      <w:tblGrid>
        <w:gridCol w:w="2335"/>
        <w:gridCol w:w="6300"/>
      </w:tblGrid>
      <w:tr w:rsidR="001435B4" w:rsidRPr="004F42B9" w14:paraId="6817748F" w14:textId="77777777" w:rsidTr="001A038E">
        <w:trPr>
          <w:trHeight w:val="665"/>
        </w:trPr>
        <w:tc>
          <w:tcPr>
            <w:tcW w:w="2335" w:type="dxa"/>
            <w:tcBorders>
              <w:bottom w:val="single" w:sz="4" w:space="0" w:color="auto"/>
            </w:tcBorders>
          </w:tcPr>
          <w:p w14:paraId="775EEAA4" w14:textId="71143568" w:rsidR="001435B4" w:rsidRPr="004F42B9" w:rsidRDefault="001435B4" w:rsidP="00BC4385">
            <w:pPr>
              <w:pStyle w:val="ListParagraph"/>
              <w:ind w:left="0"/>
              <w:rPr>
                <w:rFonts w:asciiTheme="majorHAnsi" w:hAnsiTheme="majorHAnsi" w:cstheme="majorHAnsi"/>
                <w:u w:val="single"/>
              </w:rPr>
            </w:pPr>
            <w:r>
              <w:rPr>
                <w:rFonts w:asciiTheme="majorHAnsi" w:hAnsiTheme="majorHAnsi" w:cstheme="majorHAnsi"/>
                <w:u w:val="single"/>
              </w:rPr>
              <w:t>CAMPUS</w:t>
            </w:r>
          </w:p>
        </w:tc>
        <w:tc>
          <w:tcPr>
            <w:tcW w:w="6300" w:type="dxa"/>
            <w:tcBorders>
              <w:bottom w:val="single" w:sz="4" w:space="0" w:color="auto"/>
            </w:tcBorders>
          </w:tcPr>
          <w:p w14:paraId="0F5C9F86" w14:textId="579FED54" w:rsidR="001435B4" w:rsidRPr="004F42B9" w:rsidRDefault="001435B4" w:rsidP="00BC4385">
            <w:pPr>
              <w:pStyle w:val="ListParagraph"/>
              <w:ind w:left="0"/>
              <w:jc w:val="center"/>
              <w:rPr>
                <w:rFonts w:asciiTheme="majorHAnsi" w:hAnsiTheme="majorHAnsi" w:cstheme="majorHAnsi"/>
                <w:u w:val="single"/>
              </w:rPr>
            </w:pPr>
            <w:r>
              <w:rPr>
                <w:rFonts w:asciiTheme="majorHAnsi" w:hAnsiTheme="majorHAnsi" w:cstheme="majorHAnsi"/>
                <w:u w:val="single"/>
              </w:rPr>
              <w:t>FACILITY NAME</w:t>
            </w:r>
          </w:p>
        </w:tc>
      </w:tr>
      <w:tr w:rsidR="001435B4" w14:paraId="33CBBEF9" w14:textId="77777777" w:rsidTr="001A038E">
        <w:tc>
          <w:tcPr>
            <w:tcW w:w="2335" w:type="dxa"/>
            <w:tcBorders>
              <w:top w:val="single" w:sz="4" w:space="0" w:color="auto"/>
            </w:tcBorders>
          </w:tcPr>
          <w:p w14:paraId="66DF8CC1" w14:textId="4BDB6F49" w:rsidR="001435B4" w:rsidRPr="00E10116" w:rsidRDefault="001435B4" w:rsidP="00BC4385">
            <w:pPr>
              <w:pStyle w:val="ListParagraph"/>
              <w:ind w:left="0"/>
              <w:rPr>
                <w:rFonts w:asciiTheme="majorHAnsi" w:hAnsiTheme="majorHAnsi" w:cstheme="majorHAnsi"/>
              </w:rPr>
            </w:pPr>
            <w:r>
              <w:rPr>
                <w:rFonts w:asciiTheme="majorHAnsi" w:hAnsiTheme="majorHAnsi" w:cstheme="majorHAnsi"/>
              </w:rPr>
              <w:t>University of Missouri - Columbia</w:t>
            </w:r>
          </w:p>
          <w:p w14:paraId="2927BD27" w14:textId="77777777" w:rsidR="001435B4" w:rsidRDefault="001435B4" w:rsidP="00BC4385">
            <w:pPr>
              <w:pStyle w:val="ListParagraph"/>
              <w:ind w:left="0"/>
              <w:rPr>
                <w:rFonts w:asciiTheme="majorHAnsi" w:hAnsiTheme="majorHAnsi" w:cstheme="majorHAnsi"/>
              </w:rPr>
            </w:pPr>
          </w:p>
        </w:tc>
        <w:tc>
          <w:tcPr>
            <w:tcW w:w="6300" w:type="dxa"/>
            <w:tcBorders>
              <w:top w:val="single" w:sz="4" w:space="0" w:color="auto"/>
            </w:tcBorders>
          </w:tcPr>
          <w:p w14:paraId="516CF216" w14:textId="77777777" w:rsid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Bluford</w:t>
            </w:r>
            <w:r>
              <w:rPr>
                <w:rFonts w:asciiTheme="majorHAnsi" w:hAnsiTheme="majorHAnsi" w:cstheme="majorHAnsi"/>
              </w:rPr>
              <w:t xml:space="preserve"> Hall</w:t>
            </w:r>
          </w:p>
          <w:p w14:paraId="135118D7" w14:textId="39E258C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Brooks</w:t>
            </w:r>
            <w:r>
              <w:rPr>
                <w:rFonts w:asciiTheme="majorHAnsi" w:hAnsiTheme="majorHAnsi" w:cstheme="majorHAnsi"/>
              </w:rPr>
              <w:t xml:space="preserve"> Hall</w:t>
            </w:r>
          </w:p>
          <w:p w14:paraId="2932A7B4" w14:textId="63A89FFC"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Brady Commons</w:t>
            </w:r>
            <w:r w:rsidR="001A038E">
              <w:rPr>
                <w:rFonts w:asciiTheme="majorHAnsi" w:hAnsiTheme="majorHAnsi" w:cstheme="majorHAnsi"/>
              </w:rPr>
              <w:t xml:space="preserve"> (MU Student Center)</w:t>
            </w:r>
          </w:p>
          <w:p w14:paraId="175875B1" w14:textId="6C96F65E"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Clinical Support Building</w:t>
            </w:r>
            <w:r w:rsidR="001A038E">
              <w:rPr>
                <w:rFonts w:asciiTheme="majorHAnsi" w:hAnsiTheme="majorHAnsi" w:cstheme="majorHAnsi"/>
              </w:rPr>
              <w:t xml:space="preserve"> (Clinical Support and Education)</w:t>
            </w:r>
          </w:p>
          <w:p w14:paraId="37A7BDD9"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College Avenue Residence Hall</w:t>
            </w:r>
          </w:p>
          <w:p w14:paraId="442B13A3" w14:textId="7F37E76E"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Defoe</w:t>
            </w:r>
            <w:r w:rsidR="00F479D0">
              <w:rPr>
                <w:rFonts w:asciiTheme="majorHAnsi" w:hAnsiTheme="majorHAnsi" w:cstheme="majorHAnsi"/>
              </w:rPr>
              <w:t>-Graham</w:t>
            </w:r>
            <w:r w:rsidRPr="008A15AF">
              <w:rPr>
                <w:rFonts w:asciiTheme="majorHAnsi" w:hAnsiTheme="majorHAnsi" w:cstheme="majorHAnsi"/>
              </w:rPr>
              <w:t xml:space="preserve"> Hall</w:t>
            </w:r>
          </w:p>
          <w:p w14:paraId="439D31CD"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East Campus Chilled Water Plant</w:t>
            </w:r>
          </w:p>
          <w:p w14:paraId="008C5A4C"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Gillett Hall</w:t>
            </w:r>
          </w:p>
          <w:p w14:paraId="7558A613"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Hatch Hall</w:t>
            </w:r>
          </w:p>
          <w:p w14:paraId="3A255D7D"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Hudson Hall</w:t>
            </w:r>
          </w:p>
          <w:p w14:paraId="468058C8" w14:textId="4AB03D5A"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Institute of Nano and Molecular Medicine</w:t>
            </w:r>
            <w:r w:rsidR="007E7C84">
              <w:rPr>
                <w:rFonts w:asciiTheme="majorHAnsi" w:hAnsiTheme="majorHAnsi" w:cstheme="majorHAnsi"/>
              </w:rPr>
              <w:t xml:space="preserve"> (Molecular Imaging and Theranostics)</w:t>
            </w:r>
          </w:p>
          <w:p w14:paraId="44DAB85D"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Johnston Hall</w:t>
            </w:r>
          </w:p>
          <w:p w14:paraId="3E4E340C"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Lafferre Hall</w:t>
            </w:r>
          </w:p>
          <w:p w14:paraId="39457139"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Mark Twain Residence Hall</w:t>
            </w:r>
          </w:p>
          <w:p w14:paraId="38155945"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McDavid Hall</w:t>
            </w:r>
          </w:p>
          <w:p w14:paraId="260E836F"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lastRenderedPageBreak/>
              <w:t>McHaney Hall</w:t>
            </w:r>
          </w:p>
          <w:p w14:paraId="15D50B39" w14:textId="62CBE7C9"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Medical School</w:t>
            </w:r>
            <w:r w:rsidR="00AB2C83">
              <w:rPr>
                <w:rFonts w:asciiTheme="majorHAnsi" w:hAnsiTheme="majorHAnsi" w:cstheme="majorHAnsi"/>
              </w:rPr>
              <w:t xml:space="preserve"> (Medical Science Addition)</w:t>
            </w:r>
          </w:p>
          <w:p w14:paraId="291C51A4" w14:textId="4EF0946A"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Medical School Laboratory</w:t>
            </w:r>
            <w:r w:rsidR="00AB2C83">
              <w:rPr>
                <w:rFonts w:asciiTheme="majorHAnsi" w:hAnsiTheme="majorHAnsi" w:cstheme="majorHAnsi"/>
              </w:rPr>
              <w:t xml:space="preserve"> (Third Floor Labs)</w:t>
            </w:r>
          </w:p>
          <w:p w14:paraId="3E74C271"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Memorial Stadium</w:t>
            </w:r>
          </w:p>
          <w:p w14:paraId="205435EE" w14:textId="29B228D0"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Mid-Campus Residence Hall</w:t>
            </w:r>
            <w:r w:rsidR="0036120A">
              <w:rPr>
                <w:rFonts w:asciiTheme="majorHAnsi" w:hAnsiTheme="majorHAnsi" w:cstheme="majorHAnsi"/>
              </w:rPr>
              <w:t xml:space="preserve"> (Hawthorn, Galena, Dogwood)</w:t>
            </w:r>
          </w:p>
          <w:p w14:paraId="43E5D6CE"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Parking Garage #7</w:t>
            </w:r>
          </w:p>
          <w:p w14:paraId="636E76F9"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Patient Centered Care Learning Center</w:t>
            </w:r>
          </w:p>
          <w:p w14:paraId="1FD71C01"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Power Plant</w:t>
            </w:r>
          </w:p>
          <w:p w14:paraId="1A5A1B45"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Research Reactor</w:t>
            </w:r>
          </w:p>
          <w:p w14:paraId="0DD4F5CB"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Rothwell Brewer Field House</w:t>
            </w:r>
          </w:p>
          <w:p w14:paraId="3DE62A6A"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Bingham Hall</w:t>
            </w:r>
          </w:p>
          <w:p w14:paraId="41F5EACA"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Schurz Hall</w:t>
            </w:r>
          </w:p>
          <w:p w14:paraId="123D2FC3"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Schweitzer Hall</w:t>
            </w:r>
          </w:p>
          <w:p w14:paraId="505E004A"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South Campus Storm Sewer</w:t>
            </w:r>
          </w:p>
          <w:p w14:paraId="413DF66B"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South End Zone Project</w:t>
            </w:r>
          </w:p>
          <w:p w14:paraId="0123310E" w14:textId="03F46533"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Southwest Campus Housing</w:t>
            </w:r>
            <w:r w:rsidR="00B75EE4">
              <w:rPr>
                <w:rFonts w:asciiTheme="majorHAnsi" w:hAnsiTheme="majorHAnsi" w:cstheme="majorHAnsi"/>
              </w:rPr>
              <w:t xml:space="preserve"> (North, Center, South)</w:t>
            </w:r>
          </w:p>
          <w:p w14:paraId="0F9646A1" w14:textId="666E3AB8"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Student Recreational Center</w:t>
            </w:r>
            <w:r w:rsidR="00C8355C">
              <w:rPr>
                <w:rFonts w:asciiTheme="majorHAnsi" w:hAnsiTheme="majorHAnsi" w:cstheme="majorHAnsi"/>
              </w:rPr>
              <w:t xml:space="preserve"> (Mizzou Rec)</w:t>
            </w:r>
          </w:p>
          <w:p w14:paraId="1320403E"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Swine Research Facility</w:t>
            </w:r>
          </w:p>
          <w:p w14:paraId="574D5560" w14:textId="77777777" w:rsidR="008A15AF" w:rsidRPr="008A15AF" w:rsidRDefault="008A15AF" w:rsidP="008A15AF">
            <w:pPr>
              <w:pStyle w:val="ListParagraph"/>
              <w:jc w:val="center"/>
              <w:rPr>
                <w:rFonts w:asciiTheme="majorHAnsi" w:hAnsiTheme="majorHAnsi" w:cstheme="majorHAnsi"/>
              </w:rPr>
            </w:pPr>
            <w:r w:rsidRPr="008A15AF">
              <w:rPr>
                <w:rFonts w:asciiTheme="majorHAnsi" w:hAnsiTheme="majorHAnsi" w:cstheme="majorHAnsi"/>
              </w:rPr>
              <w:t>Tara Apartments</w:t>
            </w:r>
          </w:p>
          <w:p w14:paraId="106C2926" w14:textId="77777777" w:rsidR="00D50099" w:rsidRDefault="008A15AF" w:rsidP="00D50099">
            <w:pPr>
              <w:pStyle w:val="ListParagraph"/>
              <w:jc w:val="center"/>
              <w:rPr>
                <w:rFonts w:asciiTheme="majorHAnsi" w:hAnsiTheme="majorHAnsi" w:cstheme="majorHAnsi"/>
              </w:rPr>
            </w:pPr>
            <w:r w:rsidRPr="008A15AF">
              <w:rPr>
                <w:rFonts w:asciiTheme="majorHAnsi" w:hAnsiTheme="majorHAnsi" w:cstheme="majorHAnsi"/>
              </w:rPr>
              <w:t>Virginia Avenue Garage</w:t>
            </w:r>
          </w:p>
          <w:p w14:paraId="7490505D" w14:textId="74B64B1A" w:rsidR="001435B4" w:rsidRDefault="008A15AF" w:rsidP="00D50099">
            <w:pPr>
              <w:pStyle w:val="ListParagraph"/>
              <w:jc w:val="center"/>
              <w:rPr>
                <w:rFonts w:asciiTheme="majorHAnsi" w:hAnsiTheme="majorHAnsi" w:cstheme="majorHAnsi"/>
              </w:rPr>
            </w:pPr>
            <w:r w:rsidRPr="008A15AF">
              <w:rPr>
                <w:rFonts w:asciiTheme="majorHAnsi" w:hAnsiTheme="majorHAnsi" w:cstheme="majorHAnsi"/>
              </w:rPr>
              <w:t>Wolpers Hall</w:t>
            </w:r>
          </w:p>
        </w:tc>
      </w:tr>
      <w:tr w:rsidR="001435B4" w14:paraId="7264F581" w14:textId="77777777" w:rsidTr="001A038E">
        <w:trPr>
          <w:trHeight w:val="980"/>
        </w:trPr>
        <w:tc>
          <w:tcPr>
            <w:tcW w:w="2335" w:type="dxa"/>
          </w:tcPr>
          <w:p w14:paraId="0012B081" w14:textId="53E5F4AF" w:rsidR="001435B4" w:rsidRPr="00E10116" w:rsidRDefault="001435B4" w:rsidP="001435B4">
            <w:pPr>
              <w:pStyle w:val="ListParagraph"/>
              <w:ind w:left="0"/>
              <w:rPr>
                <w:rFonts w:asciiTheme="majorHAnsi" w:hAnsiTheme="majorHAnsi" w:cstheme="majorHAnsi"/>
              </w:rPr>
            </w:pPr>
            <w:r>
              <w:rPr>
                <w:rFonts w:asciiTheme="majorHAnsi" w:hAnsiTheme="majorHAnsi" w:cstheme="majorHAnsi"/>
              </w:rPr>
              <w:lastRenderedPageBreak/>
              <w:t>University of Missouri Healthcare</w:t>
            </w:r>
          </w:p>
          <w:p w14:paraId="2A6A15D9" w14:textId="5055A11D" w:rsidR="001435B4" w:rsidRDefault="001435B4" w:rsidP="00BC4385">
            <w:pPr>
              <w:pStyle w:val="ListParagraph"/>
              <w:ind w:left="0"/>
              <w:rPr>
                <w:rFonts w:asciiTheme="majorHAnsi" w:hAnsiTheme="majorHAnsi" w:cstheme="majorHAnsi"/>
              </w:rPr>
            </w:pPr>
          </w:p>
        </w:tc>
        <w:tc>
          <w:tcPr>
            <w:tcW w:w="6300" w:type="dxa"/>
          </w:tcPr>
          <w:p w14:paraId="0F9EC086" w14:textId="77777777" w:rsidR="00D50099" w:rsidRPr="00D50099" w:rsidRDefault="00D50099" w:rsidP="00D50099">
            <w:pPr>
              <w:pStyle w:val="ListParagraph"/>
              <w:jc w:val="center"/>
              <w:rPr>
                <w:rFonts w:asciiTheme="majorHAnsi" w:hAnsiTheme="majorHAnsi" w:cstheme="majorHAnsi"/>
              </w:rPr>
            </w:pPr>
            <w:r w:rsidRPr="00D50099">
              <w:rPr>
                <w:rFonts w:asciiTheme="majorHAnsi" w:hAnsiTheme="majorHAnsi" w:cstheme="majorHAnsi"/>
              </w:rPr>
              <w:t>Green Meadows Outpatient Care Center</w:t>
            </w:r>
          </w:p>
          <w:p w14:paraId="584C86E1" w14:textId="77777777" w:rsidR="00D50099" w:rsidRPr="00D50099" w:rsidRDefault="00D50099" w:rsidP="00D50099">
            <w:pPr>
              <w:pStyle w:val="ListParagraph"/>
              <w:jc w:val="center"/>
              <w:rPr>
                <w:rFonts w:asciiTheme="majorHAnsi" w:hAnsiTheme="majorHAnsi" w:cstheme="majorHAnsi"/>
              </w:rPr>
            </w:pPr>
            <w:r w:rsidRPr="00D50099">
              <w:rPr>
                <w:rFonts w:asciiTheme="majorHAnsi" w:hAnsiTheme="majorHAnsi" w:cstheme="majorHAnsi"/>
              </w:rPr>
              <w:t>Missouri Orthopedic Institute (MOI)</w:t>
            </w:r>
          </w:p>
          <w:p w14:paraId="0ADF5A68" w14:textId="77777777" w:rsidR="00D50099" w:rsidRPr="00D50099" w:rsidRDefault="00D50099" w:rsidP="00D50099">
            <w:pPr>
              <w:pStyle w:val="ListParagraph"/>
              <w:jc w:val="center"/>
              <w:rPr>
                <w:rFonts w:asciiTheme="majorHAnsi" w:hAnsiTheme="majorHAnsi" w:cstheme="majorHAnsi"/>
              </w:rPr>
            </w:pPr>
            <w:r w:rsidRPr="00D50099">
              <w:rPr>
                <w:rFonts w:asciiTheme="majorHAnsi" w:hAnsiTheme="majorHAnsi" w:cstheme="majorHAnsi"/>
              </w:rPr>
              <w:t>Children's Hospital</w:t>
            </w:r>
          </w:p>
          <w:p w14:paraId="5BD24E41" w14:textId="77777777" w:rsidR="00D50099" w:rsidRDefault="00D50099" w:rsidP="00D50099">
            <w:pPr>
              <w:pStyle w:val="ListParagraph"/>
              <w:jc w:val="center"/>
              <w:rPr>
                <w:rFonts w:asciiTheme="majorHAnsi" w:hAnsiTheme="majorHAnsi" w:cstheme="majorHAnsi"/>
              </w:rPr>
            </w:pPr>
            <w:r w:rsidRPr="00D50099">
              <w:rPr>
                <w:rFonts w:asciiTheme="majorHAnsi" w:hAnsiTheme="majorHAnsi" w:cstheme="majorHAnsi"/>
              </w:rPr>
              <w:t>Ellis Fischel &amp; Patient Care Tower</w:t>
            </w:r>
          </w:p>
          <w:p w14:paraId="42D4F2EF" w14:textId="79C37E54" w:rsidR="001435B4" w:rsidRDefault="00D50099" w:rsidP="00D50099">
            <w:pPr>
              <w:pStyle w:val="ListParagraph"/>
              <w:jc w:val="center"/>
              <w:rPr>
                <w:rFonts w:asciiTheme="majorHAnsi" w:hAnsiTheme="majorHAnsi" w:cstheme="majorHAnsi"/>
              </w:rPr>
            </w:pPr>
            <w:r w:rsidRPr="00D50099">
              <w:rPr>
                <w:rFonts w:asciiTheme="majorHAnsi" w:hAnsiTheme="majorHAnsi" w:cstheme="majorHAnsi"/>
              </w:rPr>
              <w:t>University Hospital and Clinics</w:t>
            </w:r>
          </w:p>
        </w:tc>
      </w:tr>
      <w:tr w:rsidR="001435B4" w14:paraId="23D38D3D" w14:textId="77777777" w:rsidTr="001A038E">
        <w:tc>
          <w:tcPr>
            <w:tcW w:w="2335" w:type="dxa"/>
          </w:tcPr>
          <w:p w14:paraId="0E4D93C6" w14:textId="3A033FE2" w:rsidR="001435B4" w:rsidRPr="00E10116" w:rsidRDefault="001435B4" w:rsidP="001435B4">
            <w:pPr>
              <w:pStyle w:val="ListParagraph"/>
              <w:ind w:left="0"/>
              <w:rPr>
                <w:rFonts w:asciiTheme="majorHAnsi" w:hAnsiTheme="majorHAnsi" w:cstheme="majorHAnsi"/>
              </w:rPr>
            </w:pPr>
            <w:r>
              <w:rPr>
                <w:rFonts w:asciiTheme="majorHAnsi" w:hAnsiTheme="majorHAnsi" w:cstheme="majorHAnsi"/>
              </w:rPr>
              <w:t>University of Missouri – Kansas City</w:t>
            </w:r>
          </w:p>
          <w:p w14:paraId="67CB1955" w14:textId="77777777" w:rsidR="001435B4" w:rsidRDefault="001435B4" w:rsidP="00BC4385">
            <w:pPr>
              <w:pStyle w:val="ListParagraph"/>
              <w:ind w:left="0"/>
              <w:rPr>
                <w:rFonts w:asciiTheme="majorHAnsi" w:hAnsiTheme="majorHAnsi" w:cstheme="majorHAnsi"/>
              </w:rPr>
            </w:pPr>
          </w:p>
        </w:tc>
        <w:tc>
          <w:tcPr>
            <w:tcW w:w="6300" w:type="dxa"/>
          </w:tcPr>
          <w:p w14:paraId="59082E5B"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Central Utilities Plant</w:t>
            </w:r>
          </w:p>
          <w:p w14:paraId="29E73AB1"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Durwood Soccer Stadium &amp; Recreation Field</w:t>
            </w:r>
          </w:p>
          <w:p w14:paraId="26C365C7"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Hospital Hill Parking Facilities</w:t>
            </w:r>
          </w:p>
          <w:p w14:paraId="31245617"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Interactive Learning Center</w:t>
            </w:r>
          </w:p>
          <w:p w14:paraId="5A077F2E"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Katz Hall</w:t>
            </w:r>
          </w:p>
          <w:p w14:paraId="6CA6E4D8"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Cherry Hall</w:t>
            </w:r>
          </w:p>
          <w:p w14:paraId="59A62A34"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KC Housing</w:t>
            </w:r>
          </w:p>
          <w:p w14:paraId="56ADF0EB"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Miller Nichols Library</w:t>
            </w:r>
          </w:p>
          <w:p w14:paraId="6A005404"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Oak Place Apartments</w:t>
            </w:r>
          </w:p>
          <w:p w14:paraId="29A405D4"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Oak Street Parking</w:t>
            </w:r>
          </w:p>
          <w:p w14:paraId="148070D5"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Oak Street West</w:t>
            </w:r>
          </w:p>
          <w:p w14:paraId="1E75548D" w14:textId="77777777" w:rsidR="00EE7DA6" w:rsidRP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Student Union</w:t>
            </w:r>
          </w:p>
          <w:p w14:paraId="02EBDE5D" w14:textId="77777777" w:rsidR="00EE7DA6" w:rsidRDefault="00EE7DA6" w:rsidP="00EE7DA6">
            <w:pPr>
              <w:pStyle w:val="ListParagraph"/>
              <w:jc w:val="center"/>
              <w:rPr>
                <w:rFonts w:asciiTheme="majorHAnsi" w:hAnsiTheme="majorHAnsi" w:cstheme="majorHAnsi"/>
              </w:rPr>
            </w:pPr>
            <w:r w:rsidRPr="00EE7DA6">
              <w:rPr>
                <w:rFonts w:asciiTheme="majorHAnsi" w:hAnsiTheme="majorHAnsi" w:cstheme="majorHAnsi"/>
              </w:rPr>
              <w:t>Twin Oaks Property</w:t>
            </w:r>
          </w:p>
          <w:p w14:paraId="7597D2E7" w14:textId="505C606C" w:rsidR="001435B4" w:rsidRDefault="00EE7DA6" w:rsidP="00EE7DA6">
            <w:pPr>
              <w:pStyle w:val="ListParagraph"/>
              <w:jc w:val="center"/>
              <w:rPr>
                <w:rFonts w:asciiTheme="majorHAnsi" w:hAnsiTheme="majorHAnsi" w:cstheme="majorHAnsi"/>
              </w:rPr>
            </w:pPr>
            <w:r w:rsidRPr="00EE7DA6">
              <w:rPr>
                <w:rFonts w:asciiTheme="majorHAnsi" w:hAnsiTheme="majorHAnsi" w:cstheme="majorHAnsi"/>
              </w:rPr>
              <w:t>University Center</w:t>
            </w:r>
          </w:p>
        </w:tc>
      </w:tr>
      <w:tr w:rsidR="001435B4" w14:paraId="33C5B55E" w14:textId="77777777" w:rsidTr="001A038E">
        <w:trPr>
          <w:trHeight w:val="773"/>
        </w:trPr>
        <w:tc>
          <w:tcPr>
            <w:tcW w:w="2335" w:type="dxa"/>
          </w:tcPr>
          <w:p w14:paraId="64DF373B" w14:textId="72146B94" w:rsidR="001435B4" w:rsidRPr="00E10116" w:rsidRDefault="001435B4" w:rsidP="001435B4">
            <w:pPr>
              <w:pStyle w:val="ListParagraph"/>
              <w:ind w:left="0"/>
              <w:rPr>
                <w:rFonts w:asciiTheme="majorHAnsi" w:hAnsiTheme="majorHAnsi" w:cstheme="majorHAnsi"/>
              </w:rPr>
            </w:pPr>
            <w:r>
              <w:rPr>
                <w:rFonts w:asciiTheme="majorHAnsi" w:hAnsiTheme="majorHAnsi" w:cstheme="majorHAnsi"/>
              </w:rPr>
              <w:t>University of Missouri – Rolla</w:t>
            </w:r>
          </w:p>
          <w:p w14:paraId="05DE101E" w14:textId="5C23CF94" w:rsidR="001435B4" w:rsidRDefault="001435B4" w:rsidP="00BC4385">
            <w:pPr>
              <w:pStyle w:val="ListParagraph"/>
              <w:ind w:left="0"/>
              <w:rPr>
                <w:rFonts w:asciiTheme="majorHAnsi" w:hAnsiTheme="majorHAnsi" w:cstheme="majorHAnsi"/>
              </w:rPr>
            </w:pPr>
          </w:p>
        </w:tc>
        <w:tc>
          <w:tcPr>
            <w:tcW w:w="6300" w:type="dxa"/>
          </w:tcPr>
          <w:p w14:paraId="5B07A603"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Geothermal Energy Project</w:t>
            </w:r>
          </w:p>
          <w:p w14:paraId="4F78A7AB"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Innovation Park Building #1</w:t>
            </w:r>
          </w:p>
          <w:p w14:paraId="62C51825"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McNutt Hall</w:t>
            </w:r>
          </w:p>
          <w:p w14:paraId="3E3C3927"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Straumanis-James Hall</w:t>
            </w:r>
          </w:p>
          <w:p w14:paraId="276974B8"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Thomas Jefferson Hall</w:t>
            </w:r>
          </w:p>
          <w:p w14:paraId="13AF91BC" w14:textId="77777777" w:rsidR="000B166E" w:rsidRP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Havener Student Center</w:t>
            </w:r>
          </w:p>
          <w:p w14:paraId="17233825" w14:textId="77777777" w:rsidR="000B166E" w:rsidRDefault="000B166E" w:rsidP="000B166E">
            <w:pPr>
              <w:pStyle w:val="ListParagraph"/>
              <w:jc w:val="center"/>
              <w:rPr>
                <w:rFonts w:asciiTheme="majorHAnsi" w:hAnsiTheme="majorHAnsi" w:cstheme="majorHAnsi"/>
              </w:rPr>
            </w:pPr>
            <w:r w:rsidRPr="000B166E">
              <w:rPr>
                <w:rFonts w:asciiTheme="majorHAnsi" w:hAnsiTheme="majorHAnsi" w:cstheme="majorHAnsi"/>
              </w:rPr>
              <w:t>Miner Village</w:t>
            </w:r>
          </w:p>
          <w:p w14:paraId="331CEFCB" w14:textId="60B83DAE" w:rsidR="001435B4" w:rsidRDefault="000B166E" w:rsidP="000B166E">
            <w:pPr>
              <w:pStyle w:val="ListParagraph"/>
              <w:jc w:val="center"/>
              <w:rPr>
                <w:rFonts w:asciiTheme="majorHAnsi" w:hAnsiTheme="majorHAnsi" w:cstheme="majorHAnsi"/>
              </w:rPr>
            </w:pPr>
            <w:r w:rsidRPr="000B166E">
              <w:rPr>
                <w:rFonts w:asciiTheme="majorHAnsi" w:hAnsiTheme="majorHAnsi" w:cstheme="majorHAnsi"/>
              </w:rPr>
              <w:t>Thomas Jefferson North Hall</w:t>
            </w:r>
          </w:p>
        </w:tc>
      </w:tr>
      <w:tr w:rsidR="001435B4" w14:paraId="3EA86D85" w14:textId="77777777" w:rsidTr="001A038E">
        <w:trPr>
          <w:trHeight w:val="1250"/>
        </w:trPr>
        <w:tc>
          <w:tcPr>
            <w:tcW w:w="2335" w:type="dxa"/>
          </w:tcPr>
          <w:p w14:paraId="64D334C3" w14:textId="5283398A" w:rsidR="001435B4" w:rsidRPr="00E10116" w:rsidRDefault="001435B4" w:rsidP="001435B4">
            <w:pPr>
              <w:pStyle w:val="ListParagraph"/>
              <w:ind w:left="0"/>
              <w:rPr>
                <w:rFonts w:asciiTheme="majorHAnsi" w:hAnsiTheme="majorHAnsi" w:cstheme="majorHAnsi"/>
              </w:rPr>
            </w:pPr>
            <w:r>
              <w:rPr>
                <w:rFonts w:asciiTheme="majorHAnsi" w:hAnsiTheme="majorHAnsi" w:cstheme="majorHAnsi"/>
              </w:rPr>
              <w:lastRenderedPageBreak/>
              <w:t>University of Missouri – Saint Louis</w:t>
            </w:r>
          </w:p>
          <w:p w14:paraId="42CB9544" w14:textId="3BF944DA" w:rsidR="001435B4" w:rsidRPr="00C96660" w:rsidRDefault="001435B4" w:rsidP="00BC4385">
            <w:pPr>
              <w:pStyle w:val="ListParagraph"/>
              <w:ind w:left="0"/>
              <w:rPr>
                <w:rFonts w:asciiTheme="majorHAnsi" w:hAnsiTheme="majorHAnsi" w:cstheme="majorHAnsi"/>
              </w:rPr>
            </w:pPr>
          </w:p>
        </w:tc>
        <w:tc>
          <w:tcPr>
            <w:tcW w:w="6300" w:type="dxa"/>
          </w:tcPr>
          <w:p w14:paraId="4DBFC3CF" w14:textId="77777777" w:rsidR="00621017" w:rsidRPr="00621017" w:rsidRDefault="00621017" w:rsidP="00621017">
            <w:pPr>
              <w:pStyle w:val="ListParagraph"/>
              <w:jc w:val="center"/>
              <w:rPr>
                <w:rFonts w:asciiTheme="majorHAnsi" w:hAnsiTheme="majorHAnsi" w:cstheme="majorHAnsi"/>
              </w:rPr>
            </w:pPr>
            <w:r w:rsidRPr="00621017">
              <w:rPr>
                <w:rFonts w:asciiTheme="majorHAnsi" w:hAnsiTheme="majorHAnsi" w:cstheme="majorHAnsi"/>
              </w:rPr>
              <w:t>Flushing Meadows</w:t>
            </w:r>
          </w:p>
          <w:p w14:paraId="50C7B85C" w14:textId="77777777" w:rsidR="00621017" w:rsidRPr="00621017" w:rsidRDefault="00621017" w:rsidP="00621017">
            <w:pPr>
              <w:pStyle w:val="ListParagraph"/>
              <w:jc w:val="center"/>
              <w:rPr>
                <w:rFonts w:asciiTheme="majorHAnsi" w:hAnsiTheme="majorHAnsi" w:cstheme="majorHAnsi"/>
              </w:rPr>
            </w:pPr>
            <w:r w:rsidRPr="00621017">
              <w:rPr>
                <w:rFonts w:asciiTheme="majorHAnsi" w:hAnsiTheme="majorHAnsi" w:cstheme="majorHAnsi"/>
              </w:rPr>
              <w:t>Mansion Hills</w:t>
            </w:r>
          </w:p>
          <w:p w14:paraId="18F88B4C" w14:textId="77777777" w:rsidR="00621017" w:rsidRPr="00621017" w:rsidRDefault="00621017" w:rsidP="00621017">
            <w:pPr>
              <w:pStyle w:val="ListParagraph"/>
              <w:jc w:val="center"/>
              <w:rPr>
                <w:rFonts w:asciiTheme="majorHAnsi" w:hAnsiTheme="majorHAnsi" w:cstheme="majorHAnsi"/>
              </w:rPr>
            </w:pPr>
            <w:r w:rsidRPr="00621017">
              <w:rPr>
                <w:rFonts w:asciiTheme="majorHAnsi" w:hAnsiTheme="majorHAnsi" w:cstheme="majorHAnsi"/>
              </w:rPr>
              <w:t>Millenium Student Center</w:t>
            </w:r>
          </w:p>
          <w:p w14:paraId="3982D0FF" w14:textId="3B92DE83" w:rsidR="00621017" w:rsidRDefault="00621017" w:rsidP="00621017">
            <w:pPr>
              <w:pStyle w:val="ListParagraph"/>
              <w:jc w:val="center"/>
              <w:rPr>
                <w:rFonts w:asciiTheme="majorHAnsi" w:hAnsiTheme="majorHAnsi" w:cstheme="majorHAnsi"/>
              </w:rPr>
            </w:pPr>
            <w:proofErr w:type="gramStart"/>
            <w:r w:rsidRPr="00621017">
              <w:rPr>
                <w:rFonts w:asciiTheme="majorHAnsi" w:hAnsiTheme="majorHAnsi" w:cstheme="majorHAnsi"/>
              </w:rPr>
              <w:t>Parkin</w:t>
            </w:r>
            <w:r>
              <w:rPr>
                <w:rFonts w:asciiTheme="majorHAnsi" w:hAnsiTheme="majorHAnsi" w:cstheme="majorHAnsi"/>
              </w:rPr>
              <w:t xml:space="preserve">g </w:t>
            </w:r>
            <w:r w:rsidRPr="00621017">
              <w:rPr>
                <w:rFonts w:asciiTheme="majorHAnsi" w:hAnsiTheme="majorHAnsi" w:cstheme="majorHAnsi"/>
              </w:rPr>
              <w:t xml:space="preserve"> -</w:t>
            </w:r>
            <w:proofErr w:type="gramEnd"/>
            <w:r w:rsidRPr="00621017">
              <w:rPr>
                <w:rFonts w:asciiTheme="majorHAnsi" w:hAnsiTheme="majorHAnsi" w:cstheme="majorHAnsi"/>
              </w:rPr>
              <w:t xml:space="preserve"> St. Louis</w:t>
            </w:r>
          </w:p>
          <w:p w14:paraId="172A1B6F" w14:textId="0F0E7A9F" w:rsidR="001435B4" w:rsidRDefault="00621017" w:rsidP="00621017">
            <w:pPr>
              <w:pStyle w:val="ListParagraph"/>
              <w:jc w:val="center"/>
              <w:rPr>
                <w:rFonts w:asciiTheme="majorHAnsi" w:hAnsiTheme="majorHAnsi" w:cstheme="majorHAnsi"/>
              </w:rPr>
            </w:pPr>
            <w:r w:rsidRPr="00621017">
              <w:rPr>
                <w:rFonts w:asciiTheme="majorHAnsi" w:hAnsiTheme="majorHAnsi" w:cstheme="majorHAnsi"/>
              </w:rPr>
              <w:t>South Campus Residence Hall</w:t>
            </w:r>
          </w:p>
        </w:tc>
      </w:tr>
    </w:tbl>
    <w:p w14:paraId="61E6533A" w14:textId="77777777" w:rsidR="00592811" w:rsidRPr="008D6458" w:rsidRDefault="00592811" w:rsidP="008D6458">
      <w:pPr>
        <w:pStyle w:val="ListParagraph"/>
        <w:jc w:val="center"/>
        <w:rPr>
          <w:rFonts w:asciiTheme="majorHAnsi" w:hAnsiTheme="majorHAnsi" w:cstheme="majorHAnsi"/>
        </w:rPr>
      </w:pPr>
    </w:p>
    <w:sectPr w:rsidR="00592811" w:rsidRPr="008D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0836"/>
    <w:multiLevelType w:val="hybridMultilevel"/>
    <w:tmpl w:val="3E78D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E1063"/>
    <w:multiLevelType w:val="hybridMultilevel"/>
    <w:tmpl w:val="D7DE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71CE"/>
    <w:multiLevelType w:val="hybridMultilevel"/>
    <w:tmpl w:val="07BC0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079771">
    <w:abstractNumId w:val="2"/>
  </w:num>
  <w:num w:numId="2" w16cid:durableId="1792286880">
    <w:abstractNumId w:val="1"/>
  </w:num>
  <w:num w:numId="3" w16cid:durableId="83434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A5"/>
    <w:rsid w:val="00005760"/>
    <w:rsid w:val="00016591"/>
    <w:rsid w:val="000251C4"/>
    <w:rsid w:val="00026B53"/>
    <w:rsid w:val="00035F4C"/>
    <w:rsid w:val="00041811"/>
    <w:rsid w:val="00042624"/>
    <w:rsid w:val="00046DA0"/>
    <w:rsid w:val="00050336"/>
    <w:rsid w:val="00050B13"/>
    <w:rsid w:val="000523A5"/>
    <w:rsid w:val="00053376"/>
    <w:rsid w:val="00066925"/>
    <w:rsid w:val="00075F03"/>
    <w:rsid w:val="00082CB7"/>
    <w:rsid w:val="000B166E"/>
    <w:rsid w:val="000B3686"/>
    <w:rsid w:val="000B4E59"/>
    <w:rsid w:val="000C2661"/>
    <w:rsid w:val="000C370C"/>
    <w:rsid w:val="000C53D2"/>
    <w:rsid w:val="000E09D7"/>
    <w:rsid w:val="000E417D"/>
    <w:rsid w:val="0011251C"/>
    <w:rsid w:val="001148C0"/>
    <w:rsid w:val="00114BE0"/>
    <w:rsid w:val="00123311"/>
    <w:rsid w:val="0013118B"/>
    <w:rsid w:val="00134EE0"/>
    <w:rsid w:val="001403D4"/>
    <w:rsid w:val="00142EAA"/>
    <w:rsid w:val="001435B4"/>
    <w:rsid w:val="00143DDD"/>
    <w:rsid w:val="00150A4B"/>
    <w:rsid w:val="001548B5"/>
    <w:rsid w:val="00163122"/>
    <w:rsid w:val="001640E5"/>
    <w:rsid w:val="001763FE"/>
    <w:rsid w:val="00182AE9"/>
    <w:rsid w:val="00190C29"/>
    <w:rsid w:val="001A038E"/>
    <w:rsid w:val="001A08A9"/>
    <w:rsid w:val="001B7B96"/>
    <w:rsid w:val="001C46B0"/>
    <w:rsid w:val="001D35E9"/>
    <w:rsid w:val="001D6CB2"/>
    <w:rsid w:val="001E30C0"/>
    <w:rsid w:val="001F6515"/>
    <w:rsid w:val="00201D72"/>
    <w:rsid w:val="002350B9"/>
    <w:rsid w:val="00236DD2"/>
    <w:rsid w:val="00240236"/>
    <w:rsid w:val="00244033"/>
    <w:rsid w:val="002445B0"/>
    <w:rsid w:val="002449C7"/>
    <w:rsid w:val="00245A6E"/>
    <w:rsid w:val="00250455"/>
    <w:rsid w:val="0026076B"/>
    <w:rsid w:val="00271A59"/>
    <w:rsid w:val="0027670E"/>
    <w:rsid w:val="0028463E"/>
    <w:rsid w:val="002932C3"/>
    <w:rsid w:val="0029680C"/>
    <w:rsid w:val="002C0DE0"/>
    <w:rsid w:val="002C34CA"/>
    <w:rsid w:val="002C4B70"/>
    <w:rsid w:val="002C6CAB"/>
    <w:rsid w:val="002D0389"/>
    <w:rsid w:val="002D1713"/>
    <w:rsid w:val="002D6266"/>
    <w:rsid w:val="002D7820"/>
    <w:rsid w:val="002E0879"/>
    <w:rsid w:val="002E178B"/>
    <w:rsid w:val="002E287E"/>
    <w:rsid w:val="002F332F"/>
    <w:rsid w:val="002F56D7"/>
    <w:rsid w:val="00311BFF"/>
    <w:rsid w:val="00315947"/>
    <w:rsid w:val="00335A5C"/>
    <w:rsid w:val="00337A39"/>
    <w:rsid w:val="003406EF"/>
    <w:rsid w:val="00355017"/>
    <w:rsid w:val="003602C9"/>
    <w:rsid w:val="0036120A"/>
    <w:rsid w:val="00364692"/>
    <w:rsid w:val="00364C6B"/>
    <w:rsid w:val="00384E7C"/>
    <w:rsid w:val="0038730C"/>
    <w:rsid w:val="003A113C"/>
    <w:rsid w:val="003A35C6"/>
    <w:rsid w:val="003A4EFB"/>
    <w:rsid w:val="003E1B73"/>
    <w:rsid w:val="003E40E0"/>
    <w:rsid w:val="003F54D6"/>
    <w:rsid w:val="003F6974"/>
    <w:rsid w:val="003F7620"/>
    <w:rsid w:val="00406A3D"/>
    <w:rsid w:val="00427266"/>
    <w:rsid w:val="00441681"/>
    <w:rsid w:val="00443076"/>
    <w:rsid w:val="00451FDF"/>
    <w:rsid w:val="00460B02"/>
    <w:rsid w:val="00463440"/>
    <w:rsid w:val="00474396"/>
    <w:rsid w:val="004818CC"/>
    <w:rsid w:val="004908FA"/>
    <w:rsid w:val="00494CB6"/>
    <w:rsid w:val="004B1E92"/>
    <w:rsid w:val="004B3DA2"/>
    <w:rsid w:val="004B4BDE"/>
    <w:rsid w:val="004B787F"/>
    <w:rsid w:val="004C3483"/>
    <w:rsid w:val="004C6537"/>
    <w:rsid w:val="004D27CF"/>
    <w:rsid w:val="004D2B63"/>
    <w:rsid w:val="004E1515"/>
    <w:rsid w:val="004E212F"/>
    <w:rsid w:val="004F31A4"/>
    <w:rsid w:val="005071FB"/>
    <w:rsid w:val="00510B29"/>
    <w:rsid w:val="0053706A"/>
    <w:rsid w:val="00540F5E"/>
    <w:rsid w:val="00541867"/>
    <w:rsid w:val="0054620C"/>
    <w:rsid w:val="00547187"/>
    <w:rsid w:val="00565351"/>
    <w:rsid w:val="005745DE"/>
    <w:rsid w:val="00587D0F"/>
    <w:rsid w:val="00592811"/>
    <w:rsid w:val="00593EFE"/>
    <w:rsid w:val="00595091"/>
    <w:rsid w:val="005B4504"/>
    <w:rsid w:val="005B4B4A"/>
    <w:rsid w:val="005C3B66"/>
    <w:rsid w:val="005C511F"/>
    <w:rsid w:val="005E5F52"/>
    <w:rsid w:val="005F149F"/>
    <w:rsid w:val="005F2236"/>
    <w:rsid w:val="005F42F2"/>
    <w:rsid w:val="00605E00"/>
    <w:rsid w:val="00620AA7"/>
    <w:rsid w:val="00621017"/>
    <w:rsid w:val="006402EB"/>
    <w:rsid w:val="006414A2"/>
    <w:rsid w:val="00641AF6"/>
    <w:rsid w:val="00641BE1"/>
    <w:rsid w:val="006471F9"/>
    <w:rsid w:val="00650985"/>
    <w:rsid w:val="00653284"/>
    <w:rsid w:val="006538BA"/>
    <w:rsid w:val="006578E9"/>
    <w:rsid w:val="0068050E"/>
    <w:rsid w:val="00683071"/>
    <w:rsid w:val="0068359E"/>
    <w:rsid w:val="00683A7C"/>
    <w:rsid w:val="006A20D8"/>
    <w:rsid w:val="006A285A"/>
    <w:rsid w:val="006C70CB"/>
    <w:rsid w:val="006D7420"/>
    <w:rsid w:val="006E4C50"/>
    <w:rsid w:val="006E5B14"/>
    <w:rsid w:val="006E70D6"/>
    <w:rsid w:val="006F4DAB"/>
    <w:rsid w:val="007039ED"/>
    <w:rsid w:val="00712525"/>
    <w:rsid w:val="007164D5"/>
    <w:rsid w:val="007276AE"/>
    <w:rsid w:val="00746101"/>
    <w:rsid w:val="0075246A"/>
    <w:rsid w:val="007542E3"/>
    <w:rsid w:val="00776FF2"/>
    <w:rsid w:val="00777B8E"/>
    <w:rsid w:val="00781017"/>
    <w:rsid w:val="0078124F"/>
    <w:rsid w:val="007911A4"/>
    <w:rsid w:val="00793E61"/>
    <w:rsid w:val="007A0482"/>
    <w:rsid w:val="007A3CA1"/>
    <w:rsid w:val="007B4259"/>
    <w:rsid w:val="007C10E4"/>
    <w:rsid w:val="007D04C1"/>
    <w:rsid w:val="007D1250"/>
    <w:rsid w:val="007D19C2"/>
    <w:rsid w:val="007E2B18"/>
    <w:rsid w:val="007E2BE1"/>
    <w:rsid w:val="007E408E"/>
    <w:rsid w:val="007E65EB"/>
    <w:rsid w:val="007E7C84"/>
    <w:rsid w:val="007F06FF"/>
    <w:rsid w:val="00812800"/>
    <w:rsid w:val="008132A3"/>
    <w:rsid w:val="008133D3"/>
    <w:rsid w:val="00813A2B"/>
    <w:rsid w:val="00816548"/>
    <w:rsid w:val="00824CFC"/>
    <w:rsid w:val="00825A1E"/>
    <w:rsid w:val="00825D45"/>
    <w:rsid w:val="00831699"/>
    <w:rsid w:val="00831FC2"/>
    <w:rsid w:val="00836EA5"/>
    <w:rsid w:val="00855BC5"/>
    <w:rsid w:val="00862DAA"/>
    <w:rsid w:val="0086463A"/>
    <w:rsid w:val="008707A3"/>
    <w:rsid w:val="00871B49"/>
    <w:rsid w:val="0087362A"/>
    <w:rsid w:val="00874042"/>
    <w:rsid w:val="008746C0"/>
    <w:rsid w:val="00877E34"/>
    <w:rsid w:val="00880437"/>
    <w:rsid w:val="008813FC"/>
    <w:rsid w:val="00892EAD"/>
    <w:rsid w:val="00895720"/>
    <w:rsid w:val="008A15AF"/>
    <w:rsid w:val="008A446F"/>
    <w:rsid w:val="008A55C9"/>
    <w:rsid w:val="008C0459"/>
    <w:rsid w:val="008C5063"/>
    <w:rsid w:val="008C5295"/>
    <w:rsid w:val="008D004C"/>
    <w:rsid w:val="008D6458"/>
    <w:rsid w:val="008F06D4"/>
    <w:rsid w:val="008F0CA4"/>
    <w:rsid w:val="008F17DF"/>
    <w:rsid w:val="00911EAC"/>
    <w:rsid w:val="009231C0"/>
    <w:rsid w:val="00925E94"/>
    <w:rsid w:val="00943B80"/>
    <w:rsid w:val="00945B2C"/>
    <w:rsid w:val="00950B3C"/>
    <w:rsid w:val="0096104F"/>
    <w:rsid w:val="00961EF3"/>
    <w:rsid w:val="0097167F"/>
    <w:rsid w:val="00973251"/>
    <w:rsid w:val="00980077"/>
    <w:rsid w:val="00995B82"/>
    <w:rsid w:val="009A0357"/>
    <w:rsid w:val="009A08A5"/>
    <w:rsid w:val="009A596C"/>
    <w:rsid w:val="009B2321"/>
    <w:rsid w:val="009C3054"/>
    <w:rsid w:val="009C349F"/>
    <w:rsid w:val="009C6FC2"/>
    <w:rsid w:val="009D1B54"/>
    <w:rsid w:val="009E49C6"/>
    <w:rsid w:val="009F35A8"/>
    <w:rsid w:val="009F6B66"/>
    <w:rsid w:val="00A07E28"/>
    <w:rsid w:val="00A12D2B"/>
    <w:rsid w:val="00A132D1"/>
    <w:rsid w:val="00A3320F"/>
    <w:rsid w:val="00A37D2E"/>
    <w:rsid w:val="00A412B8"/>
    <w:rsid w:val="00A422C5"/>
    <w:rsid w:val="00A46AE9"/>
    <w:rsid w:val="00A7700C"/>
    <w:rsid w:val="00A82777"/>
    <w:rsid w:val="00A95E73"/>
    <w:rsid w:val="00AA4D6D"/>
    <w:rsid w:val="00AB2C83"/>
    <w:rsid w:val="00AB56F4"/>
    <w:rsid w:val="00AC4CFE"/>
    <w:rsid w:val="00AC5184"/>
    <w:rsid w:val="00AD1DE7"/>
    <w:rsid w:val="00AD485F"/>
    <w:rsid w:val="00AF1B2A"/>
    <w:rsid w:val="00AF2189"/>
    <w:rsid w:val="00B0645A"/>
    <w:rsid w:val="00B22C40"/>
    <w:rsid w:val="00B25648"/>
    <w:rsid w:val="00B25F32"/>
    <w:rsid w:val="00B3758B"/>
    <w:rsid w:val="00B375F5"/>
    <w:rsid w:val="00B47E3C"/>
    <w:rsid w:val="00B5061A"/>
    <w:rsid w:val="00B50B9E"/>
    <w:rsid w:val="00B531A2"/>
    <w:rsid w:val="00B6327C"/>
    <w:rsid w:val="00B67B73"/>
    <w:rsid w:val="00B713D3"/>
    <w:rsid w:val="00B75EE4"/>
    <w:rsid w:val="00B77E27"/>
    <w:rsid w:val="00B9329E"/>
    <w:rsid w:val="00B96E6E"/>
    <w:rsid w:val="00BA0B57"/>
    <w:rsid w:val="00BA7B6E"/>
    <w:rsid w:val="00BC1407"/>
    <w:rsid w:val="00BC15C8"/>
    <w:rsid w:val="00BC6A06"/>
    <w:rsid w:val="00BD00B9"/>
    <w:rsid w:val="00BD2C5E"/>
    <w:rsid w:val="00BE2559"/>
    <w:rsid w:val="00BE5F3E"/>
    <w:rsid w:val="00BF26E2"/>
    <w:rsid w:val="00C0321C"/>
    <w:rsid w:val="00C035B5"/>
    <w:rsid w:val="00C07AE0"/>
    <w:rsid w:val="00C11E34"/>
    <w:rsid w:val="00C20D79"/>
    <w:rsid w:val="00C23483"/>
    <w:rsid w:val="00C26C68"/>
    <w:rsid w:val="00C45BF2"/>
    <w:rsid w:val="00C53221"/>
    <w:rsid w:val="00C62FDB"/>
    <w:rsid w:val="00C70580"/>
    <w:rsid w:val="00C72D5D"/>
    <w:rsid w:val="00C81C4E"/>
    <w:rsid w:val="00C8355C"/>
    <w:rsid w:val="00C921FA"/>
    <w:rsid w:val="00C93EF7"/>
    <w:rsid w:val="00C9635C"/>
    <w:rsid w:val="00CA05F1"/>
    <w:rsid w:val="00CA622A"/>
    <w:rsid w:val="00CC05AF"/>
    <w:rsid w:val="00CD6C7A"/>
    <w:rsid w:val="00CE2C20"/>
    <w:rsid w:val="00CE308A"/>
    <w:rsid w:val="00CE3F58"/>
    <w:rsid w:val="00CE565C"/>
    <w:rsid w:val="00CE5AC1"/>
    <w:rsid w:val="00CF3760"/>
    <w:rsid w:val="00D042F2"/>
    <w:rsid w:val="00D1455B"/>
    <w:rsid w:val="00D2758F"/>
    <w:rsid w:val="00D37AA8"/>
    <w:rsid w:val="00D50099"/>
    <w:rsid w:val="00D51C68"/>
    <w:rsid w:val="00D74A12"/>
    <w:rsid w:val="00D90562"/>
    <w:rsid w:val="00D908A8"/>
    <w:rsid w:val="00D94FC3"/>
    <w:rsid w:val="00D97EB4"/>
    <w:rsid w:val="00DA2209"/>
    <w:rsid w:val="00DA318F"/>
    <w:rsid w:val="00DB5292"/>
    <w:rsid w:val="00DB7A84"/>
    <w:rsid w:val="00DC0C23"/>
    <w:rsid w:val="00DC2316"/>
    <w:rsid w:val="00DC3882"/>
    <w:rsid w:val="00DD335E"/>
    <w:rsid w:val="00E0358F"/>
    <w:rsid w:val="00E05060"/>
    <w:rsid w:val="00E1502B"/>
    <w:rsid w:val="00E2486B"/>
    <w:rsid w:val="00E249C1"/>
    <w:rsid w:val="00E24F6F"/>
    <w:rsid w:val="00E366C3"/>
    <w:rsid w:val="00E42E0E"/>
    <w:rsid w:val="00E46EC0"/>
    <w:rsid w:val="00E50519"/>
    <w:rsid w:val="00E52A2D"/>
    <w:rsid w:val="00E54AD2"/>
    <w:rsid w:val="00E740B2"/>
    <w:rsid w:val="00E77216"/>
    <w:rsid w:val="00E852D7"/>
    <w:rsid w:val="00EA58C1"/>
    <w:rsid w:val="00ED1263"/>
    <w:rsid w:val="00ED16F0"/>
    <w:rsid w:val="00EE4075"/>
    <w:rsid w:val="00EE7DA6"/>
    <w:rsid w:val="00EF0910"/>
    <w:rsid w:val="00EF4955"/>
    <w:rsid w:val="00EF558E"/>
    <w:rsid w:val="00F025F9"/>
    <w:rsid w:val="00F06046"/>
    <w:rsid w:val="00F06B34"/>
    <w:rsid w:val="00F1768C"/>
    <w:rsid w:val="00F235F5"/>
    <w:rsid w:val="00F30189"/>
    <w:rsid w:val="00F36094"/>
    <w:rsid w:val="00F41B5B"/>
    <w:rsid w:val="00F43131"/>
    <w:rsid w:val="00F479D0"/>
    <w:rsid w:val="00F52EBB"/>
    <w:rsid w:val="00F607B9"/>
    <w:rsid w:val="00F65EBE"/>
    <w:rsid w:val="00F677FC"/>
    <w:rsid w:val="00F84CC6"/>
    <w:rsid w:val="00F93C67"/>
    <w:rsid w:val="00FA6AFA"/>
    <w:rsid w:val="00FA72C1"/>
    <w:rsid w:val="00FB4249"/>
    <w:rsid w:val="00FB5526"/>
    <w:rsid w:val="00FC47CF"/>
    <w:rsid w:val="00FD55A5"/>
    <w:rsid w:val="00FE0280"/>
    <w:rsid w:val="00FF2D27"/>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1313"/>
  <w15:chartTrackingRefBased/>
  <w15:docId w15:val="{902699EF-8D89-49D2-9ED8-EF180568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402EB"/>
    <w:pPr>
      <w:spacing w:after="0" w:line="240" w:lineRule="auto"/>
    </w:pPr>
  </w:style>
  <w:style w:type="character" w:styleId="CommentReference">
    <w:name w:val="annotation reference"/>
    <w:basedOn w:val="DefaultParagraphFont"/>
    <w:uiPriority w:val="99"/>
    <w:semiHidden/>
    <w:unhideWhenUsed/>
    <w:rsid w:val="00C035B5"/>
    <w:rPr>
      <w:sz w:val="16"/>
      <w:szCs w:val="16"/>
    </w:rPr>
  </w:style>
  <w:style w:type="paragraph" w:styleId="CommentText">
    <w:name w:val="annotation text"/>
    <w:basedOn w:val="Normal"/>
    <w:link w:val="CommentTextChar"/>
    <w:uiPriority w:val="99"/>
    <w:unhideWhenUsed/>
    <w:rsid w:val="00C035B5"/>
    <w:pPr>
      <w:spacing w:line="240" w:lineRule="auto"/>
    </w:pPr>
    <w:rPr>
      <w:sz w:val="20"/>
      <w:szCs w:val="20"/>
    </w:rPr>
  </w:style>
  <w:style w:type="character" w:customStyle="1" w:styleId="CommentTextChar">
    <w:name w:val="Comment Text Char"/>
    <w:basedOn w:val="DefaultParagraphFont"/>
    <w:link w:val="CommentText"/>
    <w:uiPriority w:val="99"/>
    <w:rsid w:val="00C035B5"/>
    <w:rPr>
      <w:sz w:val="20"/>
      <w:szCs w:val="20"/>
    </w:rPr>
  </w:style>
  <w:style w:type="paragraph" w:styleId="CommentSubject">
    <w:name w:val="annotation subject"/>
    <w:basedOn w:val="CommentText"/>
    <w:next w:val="CommentText"/>
    <w:link w:val="CommentSubjectChar"/>
    <w:uiPriority w:val="99"/>
    <w:semiHidden/>
    <w:unhideWhenUsed/>
    <w:rsid w:val="00C035B5"/>
    <w:rPr>
      <w:b/>
      <w:bCs/>
    </w:rPr>
  </w:style>
  <w:style w:type="character" w:customStyle="1" w:styleId="CommentSubjectChar">
    <w:name w:val="Comment Subject Char"/>
    <w:basedOn w:val="CommentTextChar"/>
    <w:link w:val="CommentSubject"/>
    <w:uiPriority w:val="99"/>
    <w:semiHidden/>
    <w:rsid w:val="00C035B5"/>
    <w:rPr>
      <w:b/>
      <w:bCs/>
      <w:sz w:val="20"/>
      <w:szCs w:val="20"/>
    </w:rPr>
  </w:style>
  <w:style w:type="paragraph" w:styleId="ListParagraph">
    <w:name w:val="List Paragraph"/>
    <w:basedOn w:val="Normal"/>
    <w:uiPriority w:val="34"/>
    <w:qFormat/>
    <w:rsid w:val="00A46AE9"/>
    <w:pPr>
      <w:ind w:left="720"/>
      <w:contextualSpacing/>
    </w:pPr>
  </w:style>
  <w:style w:type="table" w:styleId="TableGrid">
    <w:name w:val="Table Grid"/>
    <w:basedOn w:val="TableNormal"/>
    <w:uiPriority w:val="39"/>
    <w:rsid w:val="003A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3679</Words>
  <Characters>20201</Characters>
  <Application>Microsoft Office Word</Application>
  <DocSecurity>0</DocSecurity>
  <Lines>412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Andrew</dc:creator>
  <cp:keywords/>
  <dc:description/>
  <cp:lastModifiedBy>Rogers, Ashley</cp:lastModifiedBy>
  <cp:revision>4</cp:revision>
  <dcterms:created xsi:type="dcterms:W3CDTF">2025-11-12T21:22:00Z</dcterms:created>
  <dcterms:modified xsi:type="dcterms:W3CDTF">2025-11-12T21:23:00Z</dcterms:modified>
</cp:coreProperties>
</file>